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1E01F" w14:textId="77777777" w:rsidR="00124743" w:rsidRPr="0068765F" w:rsidRDefault="00124743" w:rsidP="00A94735">
      <w:pPr>
        <w:spacing w:before="120"/>
        <w:rPr>
          <w:rFonts w:ascii="Calibri" w:hAnsi="Calibri" w:cs="Calibri"/>
          <w:color w:val="auto"/>
        </w:rPr>
      </w:pPr>
      <w:r w:rsidRPr="0068765F">
        <w:rPr>
          <w:rFonts w:ascii="Calibri" w:hAnsi="Calibri" w:cs="Calibri"/>
          <w:color w:val="auto"/>
        </w:rPr>
        <w:t>EMENDAMENTO</w:t>
      </w:r>
    </w:p>
    <w:p w14:paraId="525FFC50" w14:textId="77777777" w:rsidR="00124743" w:rsidRPr="0068765F" w:rsidRDefault="00124743" w:rsidP="00A94735">
      <w:pPr>
        <w:spacing w:before="120"/>
        <w:rPr>
          <w:rFonts w:ascii="Calibri" w:hAnsi="Calibri" w:cs="Calibri"/>
          <w:color w:val="auto"/>
        </w:rPr>
      </w:pPr>
      <w:r w:rsidRPr="0068765F">
        <w:rPr>
          <w:rFonts w:ascii="Calibri" w:hAnsi="Calibri" w:cs="Calibri"/>
          <w:color w:val="auto"/>
        </w:rPr>
        <w:t>Articolo 47</w:t>
      </w:r>
    </w:p>
    <w:p w14:paraId="475F6BBE" w14:textId="77777777" w:rsidR="00124743" w:rsidRPr="0068765F" w:rsidRDefault="00163999" w:rsidP="00A94735">
      <w:pPr>
        <w:spacing w:before="120"/>
        <w:rPr>
          <w:rFonts w:ascii="Calibri" w:hAnsi="Calibri" w:cs="Calibri"/>
          <w:color w:val="auto"/>
        </w:rPr>
      </w:pPr>
      <w:r w:rsidRPr="00163999">
        <w:rPr>
          <w:rFonts w:ascii="Calibri" w:hAnsi="Calibri" w:cs="Calibri"/>
          <w:color w:val="auto"/>
        </w:rPr>
        <w:t>Schlein, Conte, Bonetti, Bonelli, Fratoianni, Magi, Braga, Silvestri, Zanella, Richetti, Della Vedova, Furfaro, Quartini</w:t>
      </w:r>
    </w:p>
    <w:p w14:paraId="32B53A55" w14:textId="77777777" w:rsidR="00124743" w:rsidRPr="0068765F" w:rsidRDefault="00124743" w:rsidP="00A94735">
      <w:pPr>
        <w:spacing w:before="120"/>
        <w:rPr>
          <w:rFonts w:ascii="Calibri" w:hAnsi="Calibri" w:cs="Calibri"/>
          <w:color w:val="auto"/>
        </w:rPr>
      </w:pPr>
      <w:r w:rsidRPr="0068765F">
        <w:rPr>
          <w:rFonts w:ascii="Calibri" w:hAnsi="Calibri" w:cs="Calibri"/>
          <w:color w:val="auto"/>
        </w:rPr>
        <w:t>Sostituire il comma 1 con il seguente:</w:t>
      </w:r>
    </w:p>
    <w:p w14:paraId="6D8B8E57" w14:textId="77777777" w:rsidR="00124743" w:rsidRPr="0068765F" w:rsidRDefault="00A94735" w:rsidP="00A94735">
      <w:pPr>
        <w:spacing w:before="120"/>
        <w:rPr>
          <w:rFonts w:ascii="Calibri" w:hAnsi="Calibri" w:cs="Calibri"/>
          <w:color w:val="auto"/>
        </w:rPr>
      </w:pPr>
      <w:r w:rsidRPr="0068765F">
        <w:rPr>
          <w:rFonts w:ascii="Calibri" w:hAnsi="Calibri" w:cs="Calibri"/>
          <w:color w:val="auto"/>
        </w:rPr>
        <w:t>“</w:t>
      </w:r>
      <w:r w:rsidR="00124743" w:rsidRPr="0068765F">
        <w:rPr>
          <w:rFonts w:ascii="Calibri" w:hAnsi="Calibri" w:cs="Calibri"/>
          <w:color w:val="auto"/>
        </w:rPr>
        <w:t>1. Il livello del finanziamento del fabbisogno sanitario nazionale standard cui concorre lo Stato è incrementato di 6.802 milioni di euro per l'anno 2025, di 10.578 milioni di euro per l'anno 2026, di 11.280 milioni di euro per l'anno 2027, di 12.163 milioni di euro per l'anno 2028, di 13.225 milioni di euro per l'anno 2029, di 14.398 milioni di euro annui a decorrere dall’anno 2030, anche per le finalità di cui agli articoli 18, 19, 50, 51, comma 1, 52, 53, 56, 57, comma 3, 58, 59, 61, 62, 63, 64 e 65.</w:t>
      </w:r>
      <w:r w:rsidRPr="0068765F">
        <w:rPr>
          <w:rFonts w:ascii="Calibri" w:hAnsi="Calibri" w:cs="Calibri"/>
          <w:color w:val="auto"/>
        </w:rPr>
        <w:t>”</w:t>
      </w:r>
    </w:p>
    <w:p w14:paraId="1DE09A0A" w14:textId="77777777" w:rsidR="0068765F" w:rsidRPr="0068765F" w:rsidRDefault="0068765F" w:rsidP="00A94735">
      <w:pPr>
        <w:spacing w:before="120"/>
        <w:jc w:val="left"/>
        <w:rPr>
          <w:rFonts w:ascii="Calibri" w:hAnsi="Calibri" w:cs="Calibri"/>
          <w:color w:val="auto"/>
        </w:rPr>
      </w:pPr>
    </w:p>
    <w:p w14:paraId="4C8243FB" w14:textId="77777777" w:rsidR="00124743" w:rsidRPr="0068765F" w:rsidRDefault="00124743" w:rsidP="00A94735">
      <w:pPr>
        <w:spacing w:before="120"/>
        <w:jc w:val="left"/>
        <w:rPr>
          <w:rFonts w:ascii="Calibri" w:hAnsi="Calibri" w:cs="Calibri"/>
          <w:color w:val="auto"/>
        </w:rPr>
      </w:pPr>
      <w:r w:rsidRPr="0068765F">
        <w:rPr>
          <w:rFonts w:ascii="Calibri" w:hAnsi="Calibri" w:cs="Calibri"/>
          <w:color w:val="auto"/>
        </w:rPr>
        <w:t>Conseguentemente</w:t>
      </w:r>
      <w:r w:rsidR="00A94735" w:rsidRPr="0068765F">
        <w:rPr>
          <w:rFonts w:ascii="Calibri" w:hAnsi="Calibri" w:cs="Calibri"/>
          <w:color w:val="auto"/>
        </w:rPr>
        <w:t>, d</w:t>
      </w:r>
      <w:r w:rsidRPr="0068765F">
        <w:rPr>
          <w:rFonts w:ascii="Calibri" w:hAnsi="Calibri" w:cs="Calibri"/>
          <w:color w:val="auto"/>
        </w:rPr>
        <w:t>opo l’articolo 47 aggiungere i seguenti</w:t>
      </w:r>
      <w:r w:rsidR="00A94735" w:rsidRPr="0068765F">
        <w:rPr>
          <w:rFonts w:ascii="Calibri" w:hAnsi="Calibri" w:cs="Calibri"/>
          <w:color w:val="auto"/>
        </w:rPr>
        <w:t>:</w:t>
      </w:r>
    </w:p>
    <w:p w14:paraId="3C76BF90" w14:textId="77777777" w:rsidR="00124743" w:rsidRPr="0068765F" w:rsidRDefault="0068765F" w:rsidP="0068765F">
      <w:pPr>
        <w:spacing w:before="120"/>
        <w:jc w:val="center"/>
        <w:rPr>
          <w:rFonts w:ascii="Calibri" w:hAnsi="Calibri" w:cs="Calibri"/>
          <w:color w:val="auto"/>
        </w:rPr>
      </w:pPr>
      <w:r w:rsidRPr="0068765F">
        <w:rPr>
          <w:rFonts w:ascii="Calibri" w:hAnsi="Calibri" w:cs="Calibri"/>
          <w:color w:val="auto"/>
        </w:rPr>
        <w:t>“</w:t>
      </w:r>
      <w:r w:rsidR="00124743" w:rsidRPr="0068765F">
        <w:rPr>
          <w:rFonts w:ascii="Calibri" w:hAnsi="Calibri" w:cs="Calibri"/>
          <w:color w:val="auto"/>
        </w:rPr>
        <w:t>Art. 47 bis</w:t>
      </w:r>
    </w:p>
    <w:p w14:paraId="329FC6D0" w14:textId="77777777" w:rsidR="00124743" w:rsidRPr="0068765F" w:rsidRDefault="00124743" w:rsidP="0068765F">
      <w:pPr>
        <w:spacing w:before="120"/>
        <w:jc w:val="center"/>
        <w:rPr>
          <w:rFonts w:ascii="Calibri" w:hAnsi="Calibri" w:cs="Calibri"/>
          <w:color w:val="auto"/>
        </w:rPr>
      </w:pPr>
      <w:r w:rsidRPr="0068765F">
        <w:rPr>
          <w:rFonts w:ascii="Calibri" w:hAnsi="Calibri" w:cs="Calibri"/>
          <w:color w:val="auto"/>
        </w:rPr>
        <w:t>(Misure a favore del personale sanitario)</w:t>
      </w:r>
    </w:p>
    <w:p w14:paraId="369AE8B0" w14:textId="77777777" w:rsidR="00124743" w:rsidRPr="0068765F" w:rsidRDefault="0068765F" w:rsidP="0068765F">
      <w:pPr>
        <w:spacing w:before="120"/>
        <w:jc w:val="left"/>
        <w:rPr>
          <w:rFonts w:ascii="Calibri" w:hAnsi="Calibri" w:cs="Calibri"/>
          <w:color w:val="auto"/>
        </w:rPr>
      </w:pPr>
      <w:r w:rsidRPr="0068765F">
        <w:rPr>
          <w:rFonts w:ascii="Calibri" w:hAnsi="Calibri" w:cs="Calibri"/>
          <w:color w:val="auto"/>
        </w:rPr>
        <w:t xml:space="preserve">1. </w:t>
      </w:r>
      <w:r w:rsidR="00124743" w:rsidRPr="0068765F">
        <w:rPr>
          <w:rFonts w:ascii="Calibri" w:hAnsi="Calibri" w:cs="Calibri"/>
          <w:color w:val="auto"/>
        </w:rPr>
        <w:t>L’articolo 5 del decreto legge 7 giugno 2024, n. 73 così come convertito dalla legge 107 del 29 luglio 2024 è soppresso.</w:t>
      </w:r>
    </w:p>
    <w:p w14:paraId="6FDD7A95" w14:textId="77777777" w:rsidR="00124743" w:rsidRPr="0068765F" w:rsidRDefault="0068765F" w:rsidP="0068765F">
      <w:pPr>
        <w:shd w:val="clear" w:color="auto" w:fill="FFFFFF"/>
        <w:spacing w:before="120"/>
        <w:rPr>
          <w:rFonts w:ascii="Calibri" w:hAnsi="Calibri" w:cs="Calibri"/>
          <w:b/>
          <w:color w:val="auto"/>
        </w:rPr>
      </w:pPr>
      <w:r w:rsidRPr="0068765F">
        <w:rPr>
          <w:rFonts w:ascii="Calibri" w:hAnsi="Calibri" w:cs="Calibri"/>
          <w:color w:val="auto"/>
        </w:rPr>
        <w:t xml:space="preserve">2. </w:t>
      </w:r>
      <w:r w:rsidR="00124743" w:rsidRPr="0068765F">
        <w:rPr>
          <w:rFonts w:ascii="Calibri" w:hAnsi="Calibri" w:cs="Calibri"/>
          <w:color w:val="auto"/>
        </w:rPr>
        <w:t xml:space="preserve">Allo scopo di fronteggiare la grave carenza di personale, superare il precariato e garantire la continuità nell'erogazione dei livelli essenziali di assistenza, nei limiti delle risorse previste, una quota pari a 2.000 milioni di euro per l'anno 2025, in deroga ai vincoli di spesa in materia di personale previsti a legislazione vigenti  e fermo restando il rispetto dell'equilibrio economico e finanziario del Servizio sanitario regionale, è destinata alle Regioni che sulla base dell'approvazione del proprio piano triennale del fabbisogno di personale per il servizio sanitario regionale indicono, entro il 31 marzo 2025, procedure concorsuali straordinarie per l'assunzione a tempo indeterminato di personale del  comparto  della  dirigenza medica, sanitaria, veterinaria e delle professioni sanitarie e sociosanitarie. </w:t>
      </w:r>
    </w:p>
    <w:p w14:paraId="1EB48D62" w14:textId="77777777" w:rsidR="00124743" w:rsidRPr="0068765F" w:rsidRDefault="0068765F" w:rsidP="00A8403D">
      <w:pPr>
        <w:spacing w:before="120"/>
        <w:rPr>
          <w:rFonts w:ascii="Calibri" w:hAnsi="Calibri" w:cs="Calibri"/>
          <w:b/>
          <w:color w:val="auto"/>
        </w:rPr>
      </w:pPr>
      <w:r w:rsidRPr="0068765F">
        <w:rPr>
          <w:rFonts w:ascii="Calibri" w:hAnsi="Calibri" w:cs="Calibri"/>
          <w:color w:val="auto"/>
        </w:rPr>
        <w:t xml:space="preserve">3. </w:t>
      </w:r>
      <w:r w:rsidR="00124743" w:rsidRPr="0068765F">
        <w:rPr>
          <w:rFonts w:ascii="Calibri" w:hAnsi="Calibri" w:cs="Calibri"/>
          <w:color w:val="auto"/>
        </w:rPr>
        <w:t xml:space="preserve">Al fine di far fronte alle nuove assunzioni di cui al comma 2, nel rispetto dell'equilibrio economico e finanziario del Servizio sanitario regionale, previsti dall’articolo 2, comma 71 della legge 23 dicembre 2009, n. 191 e successive modificazioni sono soppressi. </w:t>
      </w:r>
    </w:p>
    <w:p w14:paraId="0FA0A7C5" w14:textId="77777777" w:rsidR="00124743" w:rsidRPr="0068765F" w:rsidRDefault="00124743" w:rsidP="0068765F">
      <w:pPr>
        <w:spacing w:before="120"/>
        <w:jc w:val="center"/>
        <w:rPr>
          <w:rFonts w:ascii="Calibri" w:hAnsi="Calibri" w:cs="Calibri"/>
          <w:color w:val="auto"/>
        </w:rPr>
      </w:pPr>
      <w:r w:rsidRPr="0068765F">
        <w:rPr>
          <w:rFonts w:ascii="Calibri" w:hAnsi="Calibri" w:cs="Calibri"/>
          <w:color w:val="auto"/>
        </w:rPr>
        <w:t>Art. 47 ter</w:t>
      </w:r>
    </w:p>
    <w:p w14:paraId="2150E8C4" w14:textId="77777777" w:rsidR="00124743" w:rsidRPr="0068765F" w:rsidRDefault="00124743" w:rsidP="0068765F">
      <w:pPr>
        <w:spacing w:before="120"/>
        <w:jc w:val="center"/>
        <w:rPr>
          <w:rFonts w:ascii="Calibri" w:hAnsi="Calibri" w:cs="Calibri"/>
          <w:color w:val="auto"/>
        </w:rPr>
      </w:pPr>
      <w:r w:rsidRPr="0068765F">
        <w:rPr>
          <w:rFonts w:ascii="Calibri" w:hAnsi="Calibri" w:cs="Calibri"/>
          <w:color w:val="auto"/>
        </w:rPr>
        <w:t>(Risorse in materia di prevenzione)</w:t>
      </w:r>
    </w:p>
    <w:p w14:paraId="37FE6385" w14:textId="77777777" w:rsidR="00124743" w:rsidRPr="0068765F" w:rsidRDefault="0068765F" w:rsidP="0068765F">
      <w:pPr>
        <w:spacing w:before="120"/>
        <w:rPr>
          <w:rFonts w:ascii="Calibri" w:hAnsi="Calibri" w:cs="Calibri"/>
          <w:b/>
          <w:color w:val="auto"/>
        </w:rPr>
      </w:pPr>
      <w:r w:rsidRPr="0068765F">
        <w:rPr>
          <w:rFonts w:ascii="Calibri" w:hAnsi="Calibri" w:cs="Calibri"/>
          <w:color w:val="auto"/>
        </w:rPr>
        <w:t xml:space="preserve">1. </w:t>
      </w:r>
      <w:r w:rsidR="00124743" w:rsidRPr="0068765F">
        <w:rPr>
          <w:rFonts w:ascii="Calibri" w:hAnsi="Calibri" w:cs="Calibri"/>
          <w:color w:val="auto"/>
        </w:rPr>
        <w:t xml:space="preserve">Al fine di rilanciare adeguate politiche di prevenzione, con particolare riferimento alla promozione di stili di vita sani, alla lotta alla povertà e all’esclusione sociale come determinanti di salute, alla promozione del benessere psicologico, all’integrazione tra servizi sociali e servizi sanitari nella dimensione comunitaria e al fine di mettere in atto nuove strategie per migliorare l’adesione dei cittadini  agli screening organizzati, anche in sinergia con le società scientifiche e le associazioni dei cittadini,  nonché al fine di promuovere nuove e capillari campagne di vaccinazione, in particolare per quanto riguarda la tutela della salute dei neonati, delle persone anziane e delle persone fragili, una quota parte pari a 1.000 milione di euro a decorrere dal 2025 delle risorse di cui all’articolo 1 sono destinate a misure di prevenzione e vaccinazione. </w:t>
      </w:r>
    </w:p>
    <w:p w14:paraId="353CC7A0" w14:textId="77777777" w:rsidR="00124743" w:rsidRPr="0068765F" w:rsidRDefault="0068765F" w:rsidP="0068765F">
      <w:pPr>
        <w:spacing w:before="120"/>
        <w:rPr>
          <w:rFonts w:ascii="Calibri" w:hAnsi="Calibri" w:cs="Calibri"/>
          <w:b/>
          <w:color w:val="auto"/>
        </w:rPr>
      </w:pPr>
      <w:r w:rsidRPr="0068765F">
        <w:rPr>
          <w:rFonts w:ascii="Calibri" w:hAnsi="Calibri" w:cs="Calibri"/>
          <w:color w:val="auto"/>
        </w:rPr>
        <w:t xml:space="preserve">2. </w:t>
      </w:r>
      <w:r w:rsidR="00124743" w:rsidRPr="0068765F">
        <w:rPr>
          <w:rFonts w:ascii="Calibri" w:hAnsi="Calibri" w:cs="Calibri"/>
          <w:color w:val="auto"/>
        </w:rPr>
        <w:t xml:space="preserve">Con decreto del Ministro della salute d’intesa con la conferenza stato regioni e province autonome di Trento e Bolzano, da emanarsi entro sessanta giorni dall’entrata in vigore della </w:t>
      </w:r>
      <w:r w:rsidR="00124743" w:rsidRPr="0068765F">
        <w:rPr>
          <w:rFonts w:ascii="Calibri" w:hAnsi="Calibri" w:cs="Calibri"/>
          <w:color w:val="auto"/>
        </w:rPr>
        <w:lastRenderedPageBreak/>
        <w:t>presente legge, sono ripartite le risorse di cui al comma 1 anche tenendo conto del criterio di deprivazione sociale.</w:t>
      </w:r>
      <w:r w:rsidRPr="0068765F">
        <w:rPr>
          <w:rFonts w:ascii="Calibri" w:hAnsi="Calibri" w:cs="Calibri"/>
          <w:color w:val="auto"/>
        </w:rPr>
        <w:t>”</w:t>
      </w:r>
    </w:p>
    <w:p w14:paraId="77C30496" w14:textId="77777777" w:rsidR="0068765F" w:rsidRPr="0068765F" w:rsidRDefault="0068765F" w:rsidP="0068765F">
      <w:pPr>
        <w:spacing w:before="120"/>
        <w:rPr>
          <w:rFonts w:ascii="Calibri" w:hAnsi="Calibri" w:cs="Calibri"/>
          <w:color w:val="auto"/>
        </w:rPr>
      </w:pPr>
    </w:p>
    <w:p w14:paraId="0F93E8EE" w14:textId="77777777" w:rsidR="00124743" w:rsidRPr="0068765F" w:rsidRDefault="00124743" w:rsidP="0068765F">
      <w:pPr>
        <w:spacing w:before="120"/>
        <w:rPr>
          <w:rFonts w:ascii="Calibri" w:hAnsi="Calibri" w:cs="Calibri"/>
          <w:color w:val="auto"/>
        </w:rPr>
      </w:pPr>
      <w:r w:rsidRPr="0068765F">
        <w:rPr>
          <w:rFonts w:ascii="Calibri" w:hAnsi="Calibri" w:cs="Calibri"/>
          <w:color w:val="auto"/>
        </w:rPr>
        <w:t>Conseguentemente</w:t>
      </w:r>
      <w:r w:rsidR="0068765F" w:rsidRPr="0068765F">
        <w:rPr>
          <w:rFonts w:ascii="Calibri" w:hAnsi="Calibri" w:cs="Calibri"/>
          <w:color w:val="auto"/>
        </w:rPr>
        <w:t>, a</w:t>
      </w:r>
      <w:r w:rsidRPr="0068765F">
        <w:rPr>
          <w:rFonts w:ascii="Calibri" w:hAnsi="Calibri" w:cs="Calibri"/>
          <w:color w:val="auto"/>
        </w:rPr>
        <w:t>ll’articolo 62 comma 1 sostituire le parole “5,5 milioni di euro” con le seguenti “100 milioni di euro”</w:t>
      </w:r>
      <w:r w:rsidR="0068765F" w:rsidRPr="0068765F">
        <w:rPr>
          <w:rFonts w:ascii="Calibri" w:hAnsi="Calibri" w:cs="Calibri"/>
          <w:color w:val="auto"/>
        </w:rPr>
        <w:t>;</w:t>
      </w:r>
    </w:p>
    <w:p w14:paraId="385B9E72" w14:textId="77777777" w:rsidR="0068765F" w:rsidRPr="0068765F" w:rsidRDefault="0068765F" w:rsidP="0068765F">
      <w:pPr>
        <w:spacing w:before="120"/>
        <w:rPr>
          <w:rFonts w:ascii="Calibri" w:hAnsi="Calibri" w:cs="Calibri"/>
          <w:b/>
          <w:color w:val="auto"/>
        </w:rPr>
      </w:pPr>
    </w:p>
    <w:p w14:paraId="2DDA46CB" w14:textId="77777777" w:rsidR="00124743" w:rsidRPr="0068765F" w:rsidRDefault="00124743" w:rsidP="0068765F">
      <w:pPr>
        <w:shd w:val="clear" w:color="auto" w:fill="FFFFFF"/>
        <w:spacing w:before="120"/>
        <w:rPr>
          <w:rFonts w:ascii="Calibri" w:hAnsi="Calibri" w:cs="Calibri"/>
          <w:b/>
          <w:color w:val="auto"/>
        </w:rPr>
      </w:pPr>
      <w:r w:rsidRPr="0068765F">
        <w:rPr>
          <w:rFonts w:ascii="Calibri" w:hAnsi="Calibri" w:cs="Calibri"/>
          <w:color w:val="auto"/>
        </w:rPr>
        <w:t>Conseguentemente</w:t>
      </w:r>
      <w:r w:rsidR="0068765F" w:rsidRPr="0068765F">
        <w:rPr>
          <w:rFonts w:ascii="Calibri" w:hAnsi="Calibri" w:cs="Calibri"/>
          <w:color w:val="auto"/>
        </w:rPr>
        <w:t>, a</w:t>
      </w:r>
      <w:r w:rsidRPr="0068765F">
        <w:rPr>
          <w:rFonts w:ascii="Calibri" w:hAnsi="Calibri" w:cs="Calibri"/>
          <w:color w:val="auto"/>
        </w:rPr>
        <w:t>ll’articolo 63 comma 2 le parole “di 15 milioni di euro per l’anno 2025 e di 150 milioni di euro annui a decorrere dall’anno 2026” sono sostituite dalle seguenti: “300 milioni a decorrere dal 2025”</w:t>
      </w:r>
      <w:r w:rsidR="0068765F" w:rsidRPr="0068765F">
        <w:rPr>
          <w:rFonts w:ascii="Calibri" w:hAnsi="Calibri" w:cs="Calibri"/>
          <w:color w:val="auto"/>
        </w:rPr>
        <w:t>.</w:t>
      </w:r>
    </w:p>
    <w:p w14:paraId="29DAA93F" w14:textId="77777777" w:rsidR="0068765F" w:rsidRDefault="0068765F" w:rsidP="0068765F">
      <w:pPr>
        <w:spacing w:before="120"/>
        <w:rPr>
          <w:rFonts w:ascii="Calibri" w:eastAsia="Times New Roman" w:hAnsi="Calibri" w:cs="Calibri"/>
          <w:color w:val="auto"/>
          <w:lang w:eastAsia="it-IT"/>
        </w:rPr>
      </w:pPr>
    </w:p>
    <w:p w14:paraId="449BA503" w14:textId="77777777" w:rsidR="00124743" w:rsidRPr="0068765F" w:rsidRDefault="00124743" w:rsidP="0068765F">
      <w:pPr>
        <w:spacing w:before="120"/>
        <w:rPr>
          <w:rFonts w:ascii="Calibri" w:eastAsia="Times New Roman" w:hAnsi="Calibri" w:cs="Calibri"/>
          <w:color w:val="auto"/>
          <w:lang w:eastAsia="it-IT"/>
        </w:rPr>
      </w:pPr>
      <w:r w:rsidRPr="0068765F">
        <w:rPr>
          <w:rFonts w:ascii="Calibri" w:eastAsia="Times New Roman" w:hAnsi="Calibri" w:cs="Calibri"/>
          <w:color w:val="auto"/>
          <w:lang w:eastAsia="it-IT"/>
        </w:rPr>
        <w:t>Conseguentemente, dopo l’articolo 119 inserire il seguente:</w:t>
      </w:r>
    </w:p>
    <w:p w14:paraId="221636BD" w14:textId="77777777" w:rsidR="00124743" w:rsidRPr="0068765F" w:rsidRDefault="00124743" w:rsidP="0068765F">
      <w:pPr>
        <w:spacing w:before="120"/>
        <w:ind w:left="360"/>
        <w:jc w:val="center"/>
        <w:rPr>
          <w:rFonts w:ascii="Calibri" w:eastAsia="Times New Roman" w:hAnsi="Calibri" w:cs="Calibri"/>
          <w:color w:val="auto"/>
          <w:lang w:eastAsia="it-IT"/>
        </w:rPr>
      </w:pPr>
      <w:r w:rsidRPr="0068765F">
        <w:rPr>
          <w:rFonts w:ascii="Calibri" w:eastAsia="Times New Roman" w:hAnsi="Calibri" w:cs="Calibri"/>
          <w:color w:val="auto"/>
          <w:lang w:eastAsia="it-IT"/>
        </w:rPr>
        <w:t>“Articolo 119-bis.</w:t>
      </w:r>
    </w:p>
    <w:p w14:paraId="493EB18C" w14:textId="77777777" w:rsidR="00124743" w:rsidRPr="0068765F" w:rsidRDefault="00124743" w:rsidP="0068765F">
      <w:pPr>
        <w:spacing w:before="120"/>
        <w:ind w:left="360"/>
        <w:jc w:val="center"/>
        <w:rPr>
          <w:rFonts w:ascii="Calibri" w:eastAsia="Times New Roman" w:hAnsi="Calibri" w:cs="Calibri"/>
          <w:color w:val="auto"/>
          <w:lang w:eastAsia="it-IT"/>
        </w:rPr>
      </w:pPr>
      <w:r w:rsidRPr="0068765F">
        <w:rPr>
          <w:rFonts w:ascii="Calibri" w:eastAsia="Times New Roman" w:hAnsi="Calibri" w:cs="Calibri"/>
          <w:color w:val="auto"/>
          <w:lang w:eastAsia="it-IT"/>
        </w:rPr>
        <w:t>(Sussidi ambientalmente dannosi)</w:t>
      </w:r>
    </w:p>
    <w:p w14:paraId="052E2D3E" w14:textId="77777777" w:rsidR="00124743" w:rsidRPr="0068765F" w:rsidRDefault="00124743" w:rsidP="0068765F">
      <w:pPr>
        <w:spacing w:before="120"/>
        <w:rPr>
          <w:rFonts w:ascii="Calibri" w:eastAsia="Times New Roman" w:hAnsi="Calibri" w:cs="Calibri"/>
          <w:color w:val="auto"/>
          <w:lang w:eastAsia="it-IT"/>
        </w:rPr>
      </w:pPr>
      <w:r w:rsidRPr="0068765F">
        <w:rPr>
          <w:rFonts w:ascii="Calibri" w:eastAsia="Times New Roman" w:hAnsi="Calibri" w:cs="Calibri"/>
          <w:color w:val="auto"/>
          <w:lang w:eastAsia="it-IT"/>
        </w:rPr>
        <w:t xml:space="preserve">1. Fatta eccezione per i sussidi strettamente connessi al consumo di beni e servizi essenziali, il Ministero dell’ambiente e della sicurezza energetica, sentito il Ministero dell’economia e delle finanze e il Ministero delle imprese e del made in </w:t>
      </w:r>
      <w:proofErr w:type="spellStart"/>
      <w:r w:rsidRPr="0068765F">
        <w:rPr>
          <w:rFonts w:ascii="Calibri" w:eastAsia="Times New Roman" w:hAnsi="Calibri" w:cs="Calibri"/>
          <w:color w:val="auto"/>
          <w:lang w:eastAsia="it-IT"/>
        </w:rPr>
        <w:t>Italy</w:t>
      </w:r>
      <w:proofErr w:type="spellEnd"/>
      <w:r w:rsidRPr="0068765F">
        <w:rPr>
          <w:rFonts w:ascii="Calibri" w:eastAsia="Times New Roman" w:hAnsi="Calibri" w:cs="Calibri"/>
          <w:color w:val="auto"/>
          <w:lang w:eastAsia="it-IT"/>
        </w:rPr>
        <w:t>, individua i sussidi di cui all’articolo 68 della legge 28 dicembre 2015, n. 221, oggetto di rimodulazione ed eliminazione al fine di conseguire risparmi di spesa o maggiori entrate pari a 5</w:t>
      </w:r>
      <w:r w:rsidR="0068765F">
        <w:rPr>
          <w:rFonts w:ascii="Calibri" w:eastAsia="Times New Roman" w:hAnsi="Calibri" w:cs="Calibri"/>
          <w:color w:val="auto"/>
          <w:lang w:eastAsia="it-IT"/>
        </w:rPr>
        <w:t>.</w:t>
      </w:r>
      <w:r w:rsidRPr="0068765F">
        <w:rPr>
          <w:rFonts w:ascii="Calibri" w:eastAsia="Times New Roman" w:hAnsi="Calibri" w:cs="Calibri"/>
          <w:color w:val="auto"/>
          <w:lang w:eastAsia="it-IT"/>
        </w:rPr>
        <w:t>500 milioni di euro a decorrere dall’anno 2025, con priorità per quelli che possono determinare procedure di infrazione per il contrasto con le normative europee.”.</w:t>
      </w:r>
    </w:p>
    <w:p w14:paraId="578A4DC8" w14:textId="77777777" w:rsidR="00124743" w:rsidRPr="0068765F" w:rsidRDefault="00124743" w:rsidP="00A94735">
      <w:pPr>
        <w:spacing w:before="120"/>
        <w:rPr>
          <w:rFonts w:ascii="Calibri" w:hAnsi="Calibri" w:cs="Calibri"/>
          <w:color w:val="auto"/>
        </w:rPr>
      </w:pPr>
    </w:p>
    <w:p w14:paraId="6FD6DC94" w14:textId="77777777" w:rsidR="00124743" w:rsidRDefault="00124743" w:rsidP="00A94735">
      <w:pPr>
        <w:spacing w:before="120"/>
        <w:rPr>
          <w:rFonts w:ascii="Calibri" w:hAnsi="Calibri" w:cs="Calibri"/>
          <w:color w:val="auto"/>
        </w:rPr>
      </w:pPr>
    </w:p>
    <w:p w14:paraId="20D8FB53" w14:textId="77777777" w:rsidR="0068765F" w:rsidRPr="0068765F" w:rsidRDefault="0068765F" w:rsidP="00A94735">
      <w:pPr>
        <w:spacing w:before="120"/>
        <w:rPr>
          <w:rFonts w:ascii="Calibri" w:hAnsi="Calibri" w:cs="Calibri"/>
          <w:color w:val="auto"/>
        </w:rPr>
      </w:pPr>
    </w:p>
    <w:tbl>
      <w:tblPr>
        <w:tblW w:w="4962" w:type="dxa"/>
        <w:tblCellMar>
          <w:left w:w="70" w:type="dxa"/>
          <w:right w:w="70" w:type="dxa"/>
        </w:tblCellMar>
        <w:tblLook w:val="04A0" w:firstRow="1" w:lastRow="0" w:firstColumn="1" w:lastColumn="0" w:noHBand="0" w:noVBand="1"/>
      </w:tblPr>
      <w:tblGrid>
        <w:gridCol w:w="960"/>
        <w:gridCol w:w="883"/>
        <w:gridCol w:w="1701"/>
        <w:gridCol w:w="1993"/>
      </w:tblGrid>
      <w:tr w:rsidR="00A94735" w:rsidRPr="0068765F" w14:paraId="35DEC979" w14:textId="77777777" w:rsidTr="00486A4C">
        <w:trPr>
          <w:trHeight w:val="615"/>
        </w:trPr>
        <w:tc>
          <w:tcPr>
            <w:tcW w:w="960" w:type="dxa"/>
            <w:tcBorders>
              <w:top w:val="nil"/>
              <w:left w:val="nil"/>
              <w:bottom w:val="nil"/>
              <w:right w:val="nil"/>
            </w:tcBorders>
            <w:shd w:val="clear" w:color="auto" w:fill="auto"/>
            <w:noWrap/>
            <w:vAlign w:val="bottom"/>
            <w:hideMark/>
          </w:tcPr>
          <w:p w14:paraId="3F2E65CF" w14:textId="77777777" w:rsidR="00124743" w:rsidRPr="0068765F" w:rsidRDefault="00124743" w:rsidP="00A94735">
            <w:pPr>
              <w:spacing w:before="120"/>
              <w:jc w:val="left"/>
              <w:rPr>
                <w:rFonts w:ascii="Calibri" w:eastAsia="Times New Roman" w:hAnsi="Calibri" w:cs="Calibri"/>
                <w:color w:val="auto"/>
                <w:lang w:eastAsia="it-IT"/>
              </w:rPr>
            </w:pPr>
          </w:p>
        </w:tc>
        <w:tc>
          <w:tcPr>
            <w:tcW w:w="883" w:type="dxa"/>
            <w:tcBorders>
              <w:top w:val="single" w:sz="8" w:space="0" w:color="auto"/>
              <w:left w:val="single" w:sz="8" w:space="0" w:color="auto"/>
              <w:bottom w:val="nil"/>
              <w:right w:val="single" w:sz="8" w:space="0" w:color="auto"/>
            </w:tcBorders>
            <w:shd w:val="clear" w:color="auto" w:fill="auto"/>
            <w:noWrap/>
            <w:vAlign w:val="center"/>
            <w:hideMark/>
          </w:tcPr>
          <w:p w14:paraId="72049B0D" w14:textId="77777777" w:rsidR="00124743" w:rsidRPr="0068765F" w:rsidRDefault="00124743" w:rsidP="00A94735">
            <w:pPr>
              <w:spacing w:before="120"/>
              <w:rPr>
                <w:rFonts w:ascii="Calibri" w:eastAsia="Times New Roman" w:hAnsi="Calibri" w:cs="Calibri"/>
                <w:color w:val="auto"/>
                <w:lang w:eastAsia="it-IT"/>
              </w:rPr>
            </w:pPr>
            <w:r w:rsidRPr="0068765F">
              <w:rPr>
                <w:rFonts w:ascii="Calibri" w:eastAsia="Times New Roman" w:hAnsi="Calibri" w:cs="Calibri"/>
                <w:color w:val="auto"/>
                <w:lang w:eastAsia="it-IT"/>
              </w:rPr>
              <w:t>Ssn (A)</w:t>
            </w:r>
          </w:p>
        </w:tc>
        <w:tc>
          <w:tcPr>
            <w:tcW w:w="1701" w:type="dxa"/>
            <w:tcBorders>
              <w:top w:val="single" w:sz="8" w:space="0" w:color="auto"/>
              <w:left w:val="nil"/>
              <w:bottom w:val="nil"/>
              <w:right w:val="single" w:sz="8" w:space="0" w:color="auto"/>
            </w:tcBorders>
            <w:shd w:val="clear" w:color="auto" w:fill="auto"/>
            <w:vAlign w:val="center"/>
            <w:hideMark/>
          </w:tcPr>
          <w:p w14:paraId="35BD2E4B" w14:textId="77777777" w:rsidR="00124743" w:rsidRPr="0068765F" w:rsidRDefault="00124743" w:rsidP="00A94735">
            <w:pPr>
              <w:spacing w:before="120"/>
              <w:jc w:val="center"/>
              <w:rPr>
                <w:rFonts w:ascii="Calibri" w:eastAsia="Times New Roman" w:hAnsi="Calibri" w:cs="Calibri"/>
                <w:b/>
                <w:bCs/>
                <w:color w:val="auto"/>
                <w:lang w:eastAsia="it-IT"/>
              </w:rPr>
            </w:pPr>
            <w:r w:rsidRPr="0068765F">
              <w:rPr>
                <w:rFonts w:ascii="Calibri" w:eastAsia="Times New Roman" w:hAnsi="Calibri" w:cs="Calibri"/>
                <w:b/>
                <w:bCs/>
                <w:color w:val="auto"/>
                <w:lang w:eastAsia="it-IT"/>
              </w:rPr>
              <w:t>Incremento risorse</w:t>
            </w:r>
            <w:r w:rsidRPr="0068765F">
              <w:rPr>
                <w:rFonts w:ascii="Calibri" w:eastAsia="Times New Roman" w:hAnsi="Calibri" w:cs="Calibri"/>
                <w:b/>
                <w:bCs/>
                <w:color w:val="auto"/>
                <w:lang w:eastAsia="it-IT"/>
              </w:rPr>
              <w:br/>
              <w:t>al SSN da SAD</w:t>
            </w:r>
          </w:p>
        </w:tc>
        <w:tc>
          <w:tcPr>
            <w:tcW w:w="1418" w:type="dxa"/>
            <w:tcBorders>
              <w:top w:val="single" w:sz="8" w:space="0" w:color="auto"/>
              <w:left w:val="nil"/>
              <w:bottom w:val="nil"/>
              <w:right w:val="single" w:sz="8" w:space="0" w:color="auto"/>
            </w:tcBorders>
            <w:shd w:val="clear" w:color="auto" w:fill="auto"/>
            <w:noWrap/>
            <w:vAlign w:val="center"/>
            <w:hideMark/>
          </w:tcPr>
          <w:p w14:paraId="35A5D4BB" w14:textId="77777777" w:rsidR="00124743" w:rsidRPr="0068765F" w:rsidRDefault="00124743" w:rsidP="00A94735">
            <w:pPr>
              <w:spacing w:before="120"/>
              <w:jc w:val="center"/>
              <w:rPr>
                <w:rFonts w:ascii="Calibri" w:eastAsia="Times New Roman" w:hAnsi="Calibri" w:cs="Calibri"/>
                <w:color w:val="auto"/>
                <w:lang w:eastAsia="it-IT"/>
              </w:rPr>
            </w:pPr>
            <w:r w:rsidRPr="0068765F">
              <w:rPr>
                <w:rFonts w:ascii="Calibri" w:eastAsia="Times New Roman" w:hAnsi="Calibri" w:cs="Calibri"/>
                <w:color w:val="auto"/>
                <w:lang w:eastAsia="it-IT"/>
              </w:rPr>
              <w:t>SSN COME RIFINANZIATO dall’emendamento</w:t>
            </w:r>
          </w:p>
        </w:tc>
      </w:tr>
      <w:tr w:rsidR="00A94735" w:rsidRPr="0068765F" w14:paraId="3E587F26" w14:textId="77777777" w:rsidTr="00486A4C">
        <w:trPr>
          <w:trHeight w:val="315"/>
        </w:trPr>
        <w:tc>
          <w:tcPr>
            <w:tcW w:w="960" w:type="dxa"/>
            <w:tcBorders>
              <w:top w:val="nil"/>
              <w:left w:val="nil"/>
              <w:bottom w:val="nil"/>
              <w:right w:val="nil"/>
            </w:tcBorders>
            <w:shd w:val="clear" w:color="auto" w:fill="auto"/>
            <w:noWrap/>
            <w:vAlign w:val="center"/>
            <w:hideMark/>
          </w:tcPr>
          <w:p w14:paraId="3EE401FF"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2025</w:t>
            </w:r>
          </w:p>
        </w:tc>
        <w:tc>
          <w:tcPr>
            <w:tcW w:w="8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2D61B6"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1.302</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40A674D" w14:textId="77777777" w:rsidR="00124743" w:rsidRPr="0068765F" w:rsidRDefault="00124743" w:rsidP="00A94735">
            <w:pPr>
              <w:spacing w:before="120"/>
              <w:jc w:val="right"/>
              <w:rPr>
                <w:rFonts w:ascii="Calibri" w:eastAsia="Times New Roman" w:hAnsi="Calibri" w:cs="Calibri"/>
                <w:b/>
                <w:bCs/>
                <w:color w:val="auto"/>
                <w:lang w:eastAsia="it-IT"/>
              </w:rPr>
            </w:pPr>
            <w:r w:rsidRPr="0068765F">
              <w:rPr>
                <w:rFonts w:ascii="Calibri" w:eastAsia="Times New Roman" w:hAnsi="Calibri" w:cs="Calibri"/>
                <w:b/>
                <w:bCs/>
                <w:color w:val="auto"/>
                <w:lang w:eastAsia="it-IT"/>
              </w:rPr>
              <w:t>5.500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1E29A2D5"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6.802</w:t>
            </w:r>
          </w:p>
        </w:tc>
      </w:tr>
      <w:tr w:rsidR="00A94735" w:rsidRPr="0068765F" w14:paraId="0F6C9FE5" w14:textId="77777777" w:rsidTr="00486A4C">
        <w:trPr>
          <w:trHeight w:val="315"/>
        </w:trPr>
        <w:tc>
          <w:tcPr>
            <w:tcW w:w="960" w:type="dxa"/>
            <w:tcBorders>
              <w:top w:val="nil"/>
              <w:left w:val="nil"/>
              <w:bottom w:val="nil"/>
              <w:right w:val="nil"/>
            </w:tcBorders>
            <w:shd w:val="clear" w:color="auto" w:fill="auto"/>
            <w:noWrap/>
            <w:vAlign w:val="center"/>
            <w:hideMark/>
          </w:tcPr>
          <w:p w14:paraId="6412B05D"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2026</w:t>
            </w:r>
          </w:p>
        </w:tc>
        <w:tc>
          <w:tcPr>
            <w:tcW w:w="883" w:type="dxa"/>
            <w:tcBorders>
              <w:top w:val="nil"/>
              <w:left w:val="single" w:sz="8" w:space="0" w:color="auto"/>
              <w:bottom w:val="single" w:sz="8" w:space="0" w:color="auto"/>
              <w:right w:val="single" w:sz="8" w:space="0" w:color="auto"/>
            </w:tcBorders>
            <w:shd w:val="clear" w:color="auto" w:fill="auto"/>
            <w:noWrap/>
            <w:vAlign w:val="center"/>
            <w:hideMark/>
          </w:tcPr>
          <w:p w14:paraId="3C04DEA4"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5.078</w:t>
            </w:r>
          </w:p>
        </w:tc>
        <w:tc>
          <w:tcPr>
            <w:tcW w:w="1701" w:type="dxa"/>
            <w:tcBorders>
              <w:top w:val="nil"/>
              <w:left w:val="nil"/>
              <w:bottom w:val="single" w:sz="8" w:space="0" w:color="auto"/>
              <w:right w:val="single" w:sz="8" w:space="0" w:color="auto"/>
            </w:tcBorders>
            <w:shd w:val="clear" w:color="auto" w:fill="auto"/>
            <w:noWrap/>
            <w:vAlign w:val="center"/>
            <w:hideMark/>
          </w:tcPr>
          <w:p w14:paraId="21DE00E9" w14:textId="77777777" w:rsidR="00124743" w:rsidRPr="0068765F" w:rsidRDefault="00124743" w:rsidP="00A94735">
            <w:pPr>
              <w:spacing w:before="120"/>
              <w:jc w:val="right"/>
              <w:rPr>
                <w:rFonts w:ascii="Calibri" w:eastAsia="Times New Roman" w:hAnsi="Calibri" w:cs="Calibri"/>
                <w:b/>
                <w:bCs/>
                <w:color w:val="auto"/>
                <w:lang w:eastAsia="it-IT"/>
              </w:rPr>
            </w:pPr>
            <w:r w:rsidRPr="0068765F">
              <w:rPr>
                <w:rFonts w:ascii="Calibri" w:eastAsia="Times New Roman" w:hAnsi="Calibri" w:cs="Calibri"/>
                <w:b/>
                <w:bCs/>
                <w:color w:val="auto"/>
                <w:lang w:eastAsia="it-IT"/>
              </w:rPr>
              <w:t>5.500</w:t>
            </w:r>
          </w:p>
        </w:tc>
        <w:tc>
          <w:tcPr>
            <w:tcW w:w="1418" w:type="dxa"/>
            <w:tcBorders>
              <w:top w:val="nil"/>
              <w:left w:val="nil"/>
              <w:bottom w:val="single" w:sz="8" w:space="0" w:color="auto"/>
              <w:right w:val="single" w:sz="8" w:space="0" w:color="auto"/>
            </w:tcBorders>
            <w:shd w:val="clear" w:color="auto" w:fill="auto"/>
            <w:noWrap/>
            <w:vAlign w:val="center"/>
            <w:hideMark/>
          </w:tcPr>
          <w:p w14:paraId="5CD5C17C"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10.578</w:t>
            </w:r>
          </w:p>
        </w:tc>
      </w:tr>
      <w:tr w:rsidR="00A94735" w:rsidRPr="0068765F" w14:paraId="1585F22E" w14:textId="77777777" w:rsidTr="00486A4C">
        <w:trPr>
          <w:trHeight w:val="315"/>
        </w:trPr>
        <w:tc>
          <w:tcPr>
            <w:tcW w:w="960" w:type="dxa"/>
            <w:tcBorders>
              <w:top w:val="nil"/>
              <w:left w:val="nil"/>
              <w:bottom w:val="nil"/>
              <w:right w:val="nil"/>
            </w:tcBorders>
            <w:shd w:val="clear" w:color="auto" w:fill="auto"/>
            <w:noWrap/>
            <w:vAlign w:val="center"/>
            <w:hideMark/>
          </w:tcPr>
          <w:p w14:paraId="553ED29B"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2027</w:t>
            </w:r>
          </w:p>
        </w:tc>
        <w:tc>
          <w:tcPr>
            <w:tcW w:w="883" w:type="dxa"/>
            <w:tcBorders>
              <w:top w:val="nil"/>
              <w:left w:val="single" w:sz="8" w:space="0" w:color="auto"/>
              <w:bottom w:val="single" w:sz="8" w:space="0" w:color="auto"/>
              <w:right w:val="single" w:sz="8" w:space="0" w:color="auto"/>
            </w:tcBorders>
            <w:shd w:val="clear" w:color="auto" w:fill="auto"/>
            <w:noWrap/>
            <w:vAlign w:val="center"/>
            <w:hideMark/>
          </w:tcPr>
          <w:p w14:paraId="662269E9"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5.780</w:t>
            </w:r>
          </w:p>
        </w:tc>
        <w:tc>
          <w:tcPr>
            <w:tcW w:w="1701" w:type="dxa"/>
            <w:tcBorders>
              <w:top w:val="nil"/>
              <w:left w:val="nil"/>
              <w:bottom w:val="single" w:sz="8" w:space="0" w:color="auto"/>
              <w:right w:val="single" w:sz="8" w:space="0" w:color="auto"/>
            </w:tcBorders>
            <w:shd w:val="clear" w:color="auto" w:fill="auto"/>
            <w:noWrap/>
            <w:vAlign w:val="center"/>
            <w:hideMark/>
          </w:tcPr>
          <w:p w14:paraId="5145F52C" w14:textId="77777777" w:rsidR="00124743" w:rsidRPr="0068765F" w:rsidRDefault="00124743" w:rsidP="00A94735">
            <w:pPr>
              <w:spacing w:before="120"/>
              <w:jc w:val="right"/>
              <w:rPr>
                <w:rFonts w:ascii="Calibri" w:eastAsia="Times New Roman" w:hAnsi="Calibri" w:cs="Calibri"/>
                <w:b/>
                <w:bCs/>
                <w:color w:val="auto"/>
                <w:lang w:eastAsia="it-IT"/>
              </w:rPr>
            </w:pPr>
            <w:r w:rsidRPr="0068765F">
              <w:rPr>
                <w:rFonts w:ascii="Calibri" w:eastAsia="Times New Roman" w:hAnsi="Calibri" w:cs="Calibri"/>
                <w:b/>
                <w:bCs/>
                <w:color w:val="auto"/>
                <w:lang w:eastAsia="it-IT"/>
              </w:rPr>
              <w:t>5.500</w:t>
            </w:r>
          </w:p>
        </w:tc>
        <w:tc>
          <w:tcPr>
            <w:tcW w:w="1418" w:type="dxa"/>
            <w:tcBorders>
              <w:top w:val="nil"/>
              <w:left w:val="nil"/>
              <w:bottom w:val="single" w:sz="8" w:space="0" w:color="auto"/>
              <w:right w:val="single" w:sz="8" w:space="0" w:color="auto"/>
            </w:tcBorders>
            <w:shd w:val="clear" w:color="auto" w:fill="auto"/>
            <w:noWrap/>
            <w:vAlign w:val="center"/>
            <w:hideMark/>
          </w:tcPr>
          <w:p w14:paraId="03DB778C"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11.280</w:t>
            </w:r>
          </w:p>
        </w:tc>
      </w:tr>
      <w:tr w:rsidR="00A94735" w:rsidRPr="0068765F" w14:paraId="6F46F894" w14:textId="77777777" w:rsidTr="00486A4C">
        <w:trPr>
          <w:trHeight w:val="315"/>
        </w:trPr>
        <w:tc>
          <w:tcPr>
            <w:tcW w:w="960" w:type="dxa"/>
            <w:tcBorders>
              <w:top w:val="nil"/>
              <w:left w:val="nil"/>
              <w:bottom w:val="nil"/>
              <w:right w:val="nil"/>
            </w:tcBorders>
            <w:shd w:val="clear" w:color="auto" w:fill="auto"/>
            <w:noWrap/>
            <w:vAlign w:val="center"/>
            <w:hideMark/>
          </w:tcPr>
          <w:p w14:paraId="4EA88AA7"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2028</w:t>
            </w:r>
          </w:p>
        </w:tc>
        <w:tc>
          <w:tcPr>
            <w:tcW w:w="883" w:type="dxa"/>
            <w:tcBorders>
              <w:top w:val="nil"/>
              <w:left w:val="single" w:sz="8" w:space="0" w:color="auto"/>
              <w:bottom w:val="single" w:sz="8" w:space="0" w:color="auto"/>
              <w:right w:val="single" w:sz="8" w:space="0" w:color="auto"/>
            </w:tcBorders>
            <w:shd w:val="clear" w:color="auto" w:fill="auto"/>
            <w:noWrap/>
            <w:vAlign w:val="center"/>
            <w:hideMark/>
          </w:tcPr>
          <w:p w14:paraId="32DC0E7F"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6.663</w:t>
            </w:r>
          </w:p>
        </w:tc>
        <w:tc>
          <w:tcPr>
            <w:tcW w:w="1701" w:type="dxa"/>
            <w:tcBorders>
              <w:top w:val="nil"/>
              <w:left w:val="nil"/>
              <w:bottom w:val="single" w:sz="8" w:space="0" w:color="auto"/>
              <w:right w:val="single" w:sz="8" w:space="0" w:color="auto"/>
            </w:tcBorders>
            <w:shd w:val="clear" w:color="auto" w:fill="auto"/>
            <w:noWrap/>
            <w:vAlign w:val="center"/>
            <w:hideMark/>
          </w:tcPr>
          <w:p w14:paraId="3F24F235" w14:textId="77777777" w:rsidR="00124743" w:rsidRPr="0068765F" w:rsidRDefault="00124743" w:rsidP="00A94735">
            <w:pPr>
              <w:spacing w:before="120"/>
              <w:jc w:val="right"/>
              <w:rPr>
                <w:rFonts w:ascii="Calibri" w:eastAsia="Times New Roman" w:hAnsi="Calibri" w:cs="Calibri"/>
                <w:b/>
                <w:bCs/>
                <w:color w:val="auto"/>
                <w:lang w:eastAsia="it-IT"/>
              </w:rPr>
            </w:pPr>
            <w:r w:rsidRPr="0068765F">
              <w:rPr>
                <w:rFonts w:ascii="Calibri" w:eastAsia="Times New Roman" w:hAnsi="Calibri" w:cs="Calibri"/>
                <w:b/>
                <w:bCs/>
                <w:color w:val="auto"/>
                <w:lang w:eastAsia="it-IT"/>
              </w:rPr>
              <w:t>5.500</w:t>
            </w:r>
          </w:p>
        </w:tc>
        <w:tc>
          <w:tcPr>
            <w:tcW w:w="1418" w:type="dxa"/>
            <w:tcBorders>
              <w:top w:val="nil"/>
              <w:left w:val="nil"/>
              <w:bottom w:val="single" w:sz="8" w:space="0" w:color="auto"/>
              <w:right w:val="single" w:sz="8" w:space="0" w:color="auto"/>
            </w:tcBorders>
            <w:shd w:val="clear" w:color="auto" w:fill="auto"/>
            <w:noWrap/>
            <w:vAlign w:val="center"/>
            <w:hideMark/>
          </w:tcPr>
          <w:p w14:paraId="076CAD74"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12.163</w:t>
            </w:r>
          </w:p>
        </w:tc>
      </w:tr>
      <w:tr w:rsidR="00A94735" w:rsidRPr="0068765F" w14:paraId="6719B7C7" w14:textId="77777777" w:rsidTr="00486A4C">
        <w:trPr>
          <w:trHeight w:val="315"/>
        </w:trPr>
        <w:tc>
          <w:tcPr>
            <w:tcW w:w="960" w:type="dxa"/>
            <w:tcBorders>
              <w:top w:val="nil"/>
              <w:left w:val="nil"/>
              <w:bottom w:val="nil"/>
              <w:right w:val="nil"/>
            </w:tcBorders>
            <w:shd w:val="clear" w:color="auto" w:fill="auto"/>
            <w:noWrap/>
            <w:vAlign w:val="center"/>
            <w:hideMark/>
          </w:tcPr>
          <w:p w14:paraId="10BB43E0"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2029</w:t>
            </w:r>
          </w:p>
        </w:tc>
        <w:tc>
          <w:tcPr>
            <w:tcW w:w="883" w:type="dxa"/>
            <w:tcBorders>
              <w:top w:val="nil"/>
              <w:left w:val="single" w:sz="8" w:space="0" w:color="auto"/>
              <w:bottom w:val="single" w:sz="8" w:space="0" w:color="auto"/>
              <w:right w:val="single" w:sz="8" w:space="0" w:color="auto"/>
            </w:tcBorders>
            <w:shd w:val="clear" w:color="auto" w:fill="auto"/>
            <w:noWrap/>
            <w:vAlign w:val="center"/>
            <w:hideMark/>
          </w:tcPr>
          <w:p w14:paraId="7B279075"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7.725</w:t>
            </w:r>
          </w:p>
        </w:tc>
        <w:tc>
          <w:tcPr>
            <w:tcW w:w="1701" w:type="dxa"/>
            <w:tcBorders>
              <w:top w:val="nil"/>
              <w:left w:val="nil"/>
              <w:bottom w:val="single" w:sz="8" w:space="0" w:color="auto"/>
              <w:right w:val="single" w:sz="8" w:space="0" w:color="auto"/>
            </w:tcBorders>
            <w:shd w:val="clear" w:color="auto" w:fill="auto"/>
            <w:noWrap/>
            <w:vAlign w:val="center"/>
            <w:hideMark/>
          </w:tcPr>
          <w:p w14:paraId="37DDDF87" w14:textId="77777777" w:rsidR="00124743" w:rsidRPr="0068765F" w:rsidRDefault="00124743" w:rsidP="00A94735">
            <w:pPr>
              <w:spacing w:before="120"/>
              <w:jc w:val="right"/>
              <w:rPr>
                <w:rFonts w:ascii="Calibri" w:eastAsia="Times New Roman" w:hAnsi="Calibri" w:cs="Calibri"/>
                <w:b/>
                <w:bCs/>
                <w:color w:val="auto"/>
                <w:lang w:eastAsia="it-IT"/>
              </w:rPr>
            </w:pPr>
            <w:r w:rsidRPr="0068765F">
              <w:rPr>
                <w:rFonts w:ascii="Calibri" w:eastAsia="Times New Roman" w:hAnsi="Calibri" w:cs="Calibri"/>
                <w:b/>
                <w:bCs/>
                <w:color w:val="auto"/>
                <w:lang w:eastAsia="it-IT"/>
              </w:rPr>
              <w:t>5.500</w:t>
            </w:r>
          </w:p>
        </w:tc>
        <w:tc>
          <w:tcPr>
            <w:tcW w:w="1418" w:type="dxa"/>
            <w:tcBorders>
              <w:top w:val="nil"/>
              <w:left w:val="nil"/>
              <w:bottom w:val="single" w:sz="8" w:space="0" w:color="auto"/>
              <w:right w:val="single" w:sz="8" w:space="0" w:color="auto"/>
            </w:tcBorders>
            <w:shd w:val="clear" w:color="auto" w:fill="auto"/>
            <w:noWrap/>
            <w:vAlign w:val="center"/>
            <w:hideMark/>
          </w:tcPr>
          <w:p w14:paraId="55D4FDCE"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13.225</w:t>
            </w:r>
          </w:p>
        </w:tc>
      </w:tr>
      <w:tr w:rsidR="0068765F" w:rsidRPr="0068765F" w14:paraId="613EC790" w14:textId="77777777" w:rsidTr="00486A4C">
        <w:trPr>
          <w:trHeight w:val="315"/>
        </w:trPr>
        <w:tc>
          <w:tcPr>
            <w:tcW w:w="960" w:type="dxa"/>
            <w:tcBorders>
              <w:top w:val="nil"/>
              <w:left w:val="nil"/>
              <w:bottom w:val="nil"/>
              <w:right w:val="nil"/>
            </w:tcBorders>
            <w:shd w:val="clear" w:color="auto" w:fill="auto"/>
            <w:noWrap/>
            <w:vAlign w:val="center"/>
            <w:hideMark/>
          </w:tcPr>
          <w:p w14:paraId="60AC355E"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dal 2030</w:t>
            </w:r>
          </w:p>
        </w:tc>
        <w:tc>
          <w:tcPr>
            <w:tcW w:w="883" w:type="dxa"/>
            <w:tcBorders>
              <w:top w:val="nil"/>
              <w:left w:val="single" w:sz="8" w:space="0" w:color="auto"/>
              <w:bottom w:val="single" w:sz="8" w:space="0" w:color="auto"/>
              <w:right w:val="single" w:sz="8" w:space="0" w:color="auto"/>
            </w:tcBorders>
            <w:shd w:val="clear" w:color="auto" w:fill="auto"/>
            <w:noWrap/>
            <w:vAlign w:val="center"/>
            <w:hideMark/>
          </w:tcPr>
          <w:p w14:paraId="49883C74"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8.898</w:t>
            </w:r>
          </w:p>
        </w:tc>
        <w:tc>
          <w:tcPr>
            <w:tcW w:w="1701" w:type="dxa"/>
            <w:tcBorders>
              <w:top w:val="nil"/>
              <w:left w:val="nil"/>
              <w:bottom w:val="single" w:sz="8" w:space="0" w:color="auto"/>
              <w:right w:val="single" w:sz="8" w:space="0" w:color="auto"/>
            </w:tcBorders>
            <w:shd w:val="clear" w:color="auto" w:fill="auto"/>
            <w:noWrap/>
            <w:vAlign w:val="center"/>
            <w:hideMark/>
          </w:tcPr>
          <w:p w14:paraId="0A83F7CC" w14:textId="77777777" w:rsidR="00124743" w:rsidRPr="0068765F" w:rsidRDefault="00124743" w:rsidP="00A94735">
            <w:pPr>
              <w:spacing w:before="120"/>
              <w:jc w:val="right"/>
              <w:rPr>
                <w:rFonts w:ascii="Calibri" w:eastAsia="Times New Roman" w:hAnsi="Calibri" w:cs="Calibri"/>
                <w:b/>
                <w:bCs/>
                <w:color w:val="auto"/>
                <w:lang w:eastAsia="it-IT"/>
              </w:rPr>
            </w:pPr>
            <w:r w:rsidRPr="0068765F">
              <w:rPr>
                <w:rFonts w:ascii="Calibri" w:eastAsia="Times New Roman" w:hAnsi="Calibri" w:cs="Calibri"/>
                <w:b/>
                <w:bCs/>
                <w:color w:val="auto"/>
                <w:lang w:eastAsia="it-IT"/>
              </w:rPr>
              <w:t>5.500</w:t>
            </w:r>
          </w:p>
        </w:tc>
        <w:tc>
          <w:tcPr>
            <w:tcW w:w="1418" w:type="dxa"/>
            <w:tcBorders>
              <w:top w:val="nil"/>
              <w:left w:val="nil"/>
              <w:bottom w:val="single" w:sz="8" w:space="0" w:color="auto"/>
              <w:right w:val="single" w:sz="8" w:space="0" w:color="auto"/>
            </w:tcBorders>
            <w:shd w:val="clear" w:color="auto" w:fill="auto"/>
            <w:noWrap/>
            <w:vAlign w:val="center"/>
            <w:hideMark/>
          </w:tcPr>
          <w:p w14:paraId="03C615CB" w14:textId="77777777" w:rsidR="00124743" w:rsidRPr="0068765F" w:rsidRDefault="00124743" w:rsidP="00A94735">
            <w:pPr>
              <w:spacing w:before="120"/>
              <w:jc w:val="right"/>
              <w:rPr>
                <w:rFonts w:ascii="Calibri" w:eastAsia="Times New Roman" w:hAnsi="Calibri" w:cs="Calibri"/>
                <w:color w:val="auto"/>
                <w:lang w:eastAsia="it-IT"/>
              </w:rPr>
            </w:pPr>
            <w:r w:rsidRPr="0068765F">
              <w:rPr>
                <w:rFonts w:ascii="Calibri" w:eastAsia="Times New Roman" w:hAnsi="Calibri" w:cs="Calibri"/>
                <w:color w:val="auto"/>
                <w:lang w:eastAsia="it-IT"/>
              </w:rPr>
              <w:t>14.398</w:t>
            </w:r>
          </w:p>
        </w:tc>
      </w:tr>
    </w:tbl>
    <w:p w14:paraId="407ACFB5" w14:textId="77777777" w:rsidR="00000000" w:rsidRPr="0068765F" w:rsidRDefault="00000000" w:rsidP="0068765F">
      <w:pPr>
        <w:spacing w:before="120"/>
        <w:rPr>
          <w:rFonts w:ascii="Calibri" w:hAnsi="Calibri" w:cs="Calibri"/>
          <w:color w:val="auto"/>
        </w:rPr>
      </w:pPr>
    </w:p>
    <w:sectPr w:rsidR="003B144C" w:rsidRPr="006876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B4830"/>
    <w:multiLevelType w:val="hybridMultilevel"/>
    <w:tmpl w:val="146CB5A2"/>
    <w:lvl w:ilvl="0" w:tplc="0410000F">
      <w:start w:val="1"/>
      <w:numFmt w:val="decimal"/>
      <w:lvlText w:val="%1."/>
      <w:lvlJc w:val="left"/>
      <w:pPr>
        <w:ind w:left="810" w:hanging="360"/>
      </w:pPr>
    </w:lvl>
    <w:lvl w:ilvl="1" w:tplc="04100019" w:tentative="1">
      <w:start w:val="1"/>
      <w:numFmt w:val="lowerLetter"/>
      <w:lvlText w:val="%2."/>
      <w:lvlJc w:val="left"/>
      <w:pPr>
        <w:ind w:left="1530" w:hanging="360"/>
      </w:pPr>
    </w:lvl>
    <w:lvl w:ilvl="2" w:tplc="0410001B" w:tentative="1">
      <w:start w:val="1"/>
      <w:numFmt w:val="lowerRoman"/>
      <w:lvlText w:val="%3."/>
      <w:lvlJc w:val="right"/>
      <w:pPr>
        <w:ind w:left="2250" w:hanging="180"/>
      </w:pPr>
    </w:lvl>
    <w:lvl w:ilvl="3" w:tplc="0410000F" w:tentative="1">
      <w:start w:val="1"/>
      <w:numFmt w:val="decimal"/>
      <w:lvlText w:val="%4."/>
      <w:lvlJc w:val="left"/>
      <w:pPr>
        <w:ind w:left="2970" w:hanging="360"/>
      </w:pPr>
    </w:lvl>
    <w:lvl w:ilvl="4" w:tplc="04100019" w:tentative="1">
      <w:start w:val="1"/>
      <w:numFmt w:val="lowerLetter"/>
      <w:lvlText w:val="%5."/>
      <w:lvlJc w:val="left"/>
      <w:pPr>
        <w:ind w:left="3690" w:hanging="360"/>
      </w:pPr>
    </w:lvl>
    <w:lvl w:ilvl="5" w:tplc="0410001B" w:tentative="1">
      <w:start w:val="1"/>
      <w:numFmt w:val="lowerRoman"/>
      <w:lvlText w:val="%6."/>
      <w:lvlJc w:val="right"/>
      <w:pPr>
        <w:ind w:left="4410" w:hanging="180"/>
      </w:pPr>
    </w:lvl>
    <w:lvl w:ilvl="6" w:tplc="0410000F" w:tentative="1">
      <w:start w:val="1"/>
      <w:numFmt w:val="decimal"/>
      <w:lvlText w:val="%7."/>
      <w:lvlJc w:val="left"/>
      <w:pPr>
        <w:ind w:left="5130" w:hanging="360"/>
      </w:pPr>
    </w:lvl>
    <w:lvl w:ilvl="7" w:tplc="04100019" w:tentative="1">
      <w:start w:val="1"/>
      <w:numFmt w:val="lowerLetter"/>
      <w:lvlText w:val="%8."/>
      <w:lvlJc w:val="left"/>
      <w:pPr>
        <w:ind w:left="5850" w:hanging="360"/>
      </w:pPr>
    </w:lvl>
    <w:lvl w:ilvl="8" w:tplc="0410001B" w:tentative="1">
      <w:start w:val="1"/>
      <w:numFmt w:val="lowerRoman"/>
      <w:lvlText w:val="%9."/>
      <w:lvlJc w:val="right"/>
      <w:pPr>
        <w:ind w:left="6570" w:hanging="180"/>
      </w:pPr>
    </w:lvl>
  </w:abstractNum>
  <w:abstractNum w:abstractNumId="1" w15:restartNumberingAfterBreak="0">
    <w:nsid w:val="21626585"/>
    <w:multiLevelType w:val="hybridMultilevel"/>
    <w:tmpl w:val="B1EE85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2523442">
    <w:abstractNumId w:val="1"/>
  </w:num>
  <w:num w:numId="2" w16cid:durableId="75721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43"/>
    <w:rsid w:val="00093F38"/>
    <w:rsid w:val="000F16BB"/>
    <w:rsid w:val="00124743"/>
    <w:rsid w:val="00163999"/>
    <w:rsid w:val="002C567A"/>
    <w:rsid w:val="0068765F"/>
    <w:rsid w:val="00993B73"/>
    <w:rsid w:val="00A8403D"/>
    <w:rsid w:val="00A94735"/>
    <w:rsid w:val="00AA13B1"/>
    <w:rsid w:val="00B44970"/>
    <w:rsid w:val="00B53B0F"/>
    <w:rsid w:val="00D35502"/>
    <w:rsid w:val="00FB1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3896"/>
  <w15:chartTrackingRefBased/>
  <w15:docId w15:val="{AE53952C-DA6F-4F2C-A829-A8519CA6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4743"/>
    <w:pPr>
      <w:spacing w:after="0" w:line="240" w:lineRule="auto"/>
      <w:jc w:val="both"/>
    </w:pPr>
    <w:rPr>
      <w:rFonts w:ascii="Times New Roman" w:hAnsi="Times New Roman" w:cs="Times New Roman"/>
      <w:color w:val="33333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7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Paola Alagia</cp:lastModifiedBy>
  <cp:revision>2</cp:revision>
  <dcterms:created xsi:type="dcterms:W3CDTF">2024-11-12T15:11:00Z</dcterms:created>
  <dcterms:modified xsi:type="dcterms:W3CDTF">2024-11-12T15:11:00Z</dcterms:modified>
</cp:coreProperties>
</file>