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422" w:rsidRPr="00585EA8" w:rsidRDefault="00585EA8" w:rsidP="00585EA8">
      <w:pPr>
        <w:spacing w:after="0" w:line="240" w:lineRule="auto"/>
        <w:jc w:val="center"/>
        <w:rPr>
          <w:rFonts w:ascii="Georgia" w:hAnsi="Georgia"/>
          <w:sz w:val="24"/>
          <w:szCs w:val="24"/>
        </w:rPr>
      </w:pPr>
      <w:bookmarkStart w:id="0" w:name="_GoBack"/>
      <w:bookmarkEnd w:id="0"/>
      <w:r w:rsidRPr="00585EA8">
        <w:rPr>
          <w:rFonts w:ascii="Georgia" w:eastAsia="Calibri" w:hAnsi="Georgia" w:cs="Times New Roman"/>
          <w:sz w:val="24"/>
          <w:szCs w:val="24"/>
        </w:rPr>
        <w:t>Interrogazione a risposta orale</w:t>
      </w:r>
    </w:p>
    <w:p w:rsidR="00585EA8" w:rsidRPr="00585EA8" w:rsidRDefault="00585EA8" w:rsidP="001C73AA">
      <w:pPr>
        <w:spacing w:after="0" w:line="240" w:lineRule="auto"/>
        <w:rPr>
          <w:rFonts w:ascii="Georgia" w:hAnsi="Georgia"/>
          <w:sz w:val="24"/>
          <w:szCs w:val="24"/>
        </w:rPr>
      </w:pPr>
    </w:p>
    <w:p w:rsidR="001C73AA" w:rsidRPr="00585EA8" w:rsidRDefault="00B24D0A" w:rsidP="001C73AA">
      <w:pPr>
        <w:spacing w:after="0" w:line="240" w:lineRule="auto"/>
        <w:rPr>
          <w:rFonts w:ascii="Georgia" w:eastAsia="Times New Roman" w:hAnsi="Georgia" w:cs="Times New Roman"/>
          <w:sz w:val="24"/>
          <w:szCs w:val="24"/>
          <w:lang w:eastAsia="it-IT"/>
        </w:rPr>
      </w:pPr>
      <w:hyperlink r:id="rId4" w:tooltip="Il link apre una nuova finestra" w:history="1">
        <w:r w:rsidR="001C73AA" w:rsidRPr="00585EA8">
          <w:rPr>
            <w:rFonts w:ascii="Georgia" w:eastAsia="Times New Roman" w:hAnsi="Georgia" w:cs="Times New Roman"/>
            <w:sz w:val="24"/>
            <w:szCs w:val="24"/>
            <w:shd w:val="clear" w:color="auto" w:fill="FFFFFF"/>
            <w:lang w:eastAsia="it-IT"/>
          </w:rPr>
          <w:t>GUIDOLIN</w:t>
        </w:r>
      </w:hyperlink>
      <w:r w:rsidR="001C73AA" w:rsidRPr="00585EA8">
        <w:rPr>
          <w:rFonts w:ascii="Georgia" w:eastAsia="Times New Roman" w:hAnsi="Georgia" w:cs="Times New Roman"/>
          <w:color w:val="000000"/>
          <w:sz w:val="24"/>
          <w:szCs w:val="24"/>
          <w:shd w:val="clear" w:color="auto" w:fill="FFFFFF"/>
          <w:lang w:eastAsia="it-IT"/>
        </w:rPr>
        <w:t> – </w:t>
      </w:r>
      <w:r w:rsidR="001C73AA" w:rsidRPr="00585EA8">
        <w:rPr>
          <w:rFonts w:ascii="Georgia" w:eastAsia="Times New Roman" w:hAnsi="Georgia" w:cs="Times New Roman"/>
          <w:i/>
          <w:iCs/>
          <w:color w:val="000000"/>
          <w:sz w:val="24"/>
          <w:szCs w:val="24"/>
          <w:shd w:val="clear" w:color="auto" w:fill="FFFFFF"/>
          <w:lang w:eastAsia="it-IT"/>
        </w:rPr>
        <w:t>Al Ministro</w:t>
      </w:r>
      <w:r w:rsidR="00306A39" w:rsidRPr="00585EA8">
        <w:rPr>
          <w:rFonts w:ascii="Georgia" w:eastAsia="Times New Roman" w:hAnsi="Georgia" w:cs="Times New Roman"/>
          <w:i/>
          <w:iCs/>
          <w:color w:val="000000"/>
          <w:sz w:val="24"/>
          <w:szCs w:val="24"/>
          <w:shd w:val="clear" w:color="auto" w:fill="FFFFFF"/>
          <w:lang w:eastAsia="it-IT"/>
        </w:rPr>
        <w:t xml:space="preserve"> per la</w:t>
      </w:r>
      <w:r w:rsidR="001C73AA" w:rsidRPr="00585EA8">
        <w:rPr>
          <w:rFonts w:ascii="Georgia" w:eastAsia="Times New Roman" w:hAnsi="Georgia" w:cs="Times New Roman"/>
          <w:i/>
          <w:iCs/>
          <w:color w:val="000000"/>
          <w:sz w:val="24"/>
          <w:szCs w:val="24"/>
          <w:shd w:val="clear" w:color="auto" w:fill="FFFFFF"/>
          <w:lang w:eastAsia="it-IT"/>
        </w:rPr>
        <w:t xml:space="preserve"> </w:t>
      </w:r>
      <w:r w:rsidR="00306A39" w:rsidRPr="00585EA8">
        <w:rPr>
          <w:rFonts w:ascii="Georgia" w:eastAsia="Times New Roman" w:hAnsi="Georgia" w:cs="Times New Roman"/>
          <w:i/>
          <w:iCs/>
          <w:color w:val="000000"/>
          <w:sz w:val="24"/>
          <w:szCs w:val="24"/>
          <w:shd w:val="clear" w:color="auto" w:fill="FFFFFF"/>
          <w:lang w:eastAsia="it-IT"/>
        </w:rPr>
        <w:t>Pubblica amministrazione</w:t>
      </w:r>
      <w:r w:rsidR="009A384A" w:rsidRPr="00585EA8">
        <w:rPr>
          <w:rFonts w:ascii="Georgia" w:eastAsia="Times New Roman" w:hAnsi="Georgia" w:cs="Times New Roman"/>
          <w:i/>
          <w:iCs/>
          <w:color w:val="000000"/>
          <w:sz w:val="24"/>
          <w:szCs w:val="24"/>
          <w:shd w:val="clear" w:color="auto" w:fill="FFFFFF"/>
          <w:lang w:eastAsia="it-IT"/>
        </w:rPr>
        <w:t xml:space="preserve"> </w:t>
      </w:r>
      <w:r w:rsidR="001C73AA" w:rsidRPr="00585EA8">
        <w:rPr>
          <w:rFonts w:ascii="Georgia" w:eastAsia="Times New Roman" w:hAnsi="Georgia" w:cs="Times New Roman"/>
          <w:color w:val="000000"/>
          <w:sz w:val="24"/>
          <w:szCs w:val="24"/>
          <w:shd w:val="clear" w:color="auto" w:fill="FFFFFF"/>
          <w:lang w:eastAsia="it-IT"/>
        </w:rPr>
        <w:t>-</w:t>
      </w:r>
    </w:p>
    <w:p w:rsidR="009A384A" w:rsidRPr="00585EA8" w:rsidRDefault="009A384A" w:rsidP="001C73AA">
      <w:pPr>
        <w:shd w:val="clear" w:color="auto" w:fill="FFFFFF"/>
        <w:spacing w:before="30" w:after="30" w:line="240" w:lineRule="auto"/>
        <w:jc w:val="both"/>
        <w:rPr>
          <w:rFonts w:ascii="Georgia" w:eastAsia="Times New Roman" w:hAnsi="Georgia" w:cs="Times New Roman"/>
          <w:b/>
          <w:color w:val="000000"/>
          <w:sz w:val="24"/>
          <w:szCs w:val="24"/>
          <w:lang w:eastAsia="it-IT"/>
        </w:rPr>
      </w:pPr>
    </w:p>
    <w:p w:rsidR="001C73AA" w:rsidRPr="00585EA8" w:rsidRDefault="001C73AA" w:rsidP="001C73AA">
      <w:pPr>
        <w:shd w:val="clear" w:color="auto" w:fill="FFFFFF"/>
        <w:spacing w:before="30" w:after="30" w:line="240" w:lineRule="auto"/>
        <w:jc w:val="both"/>
        <w:rPr>
          <w:rFonts w:ascii="Georgia" w:eastAsia="Times New Roman" w:hAnsi="Georgia" w:cs="Times New Roman"/>
          <w:color w:val="000000"/>
          <w:sz w:val="24"/>
          <w:szCs w:val="24"/>
          <w:lang w:eastAsia="it-IT"/>
        </w:rPr>
      </w:pPr>
      <w:r w:rsidRPr="00585EA8">
        <w:rPr>
          <w:rFonts w:ascii="Georgia" w:eastAsia="Times New Roman" w:hAnsi="Georgia" w:cs="Times New Roman"/>
          <w:color w:val="000000"/>
          <w:sz w:val="24"/>
          <w:szCs w:val="24"/>
          <w:lang w:eastAsia="it-IT"/>
        </w:rPr>
        <w:t>Premesso che:</w:t>
      </w:r>
    </w:p>
    <w:p w:rsidR="00306A39" w:rsidRPr="00585EA8" w:rsidRDefault="00306A39" w:rsidP="001C73AA">
      <w:pPr>
        <w:shd w:val="clear" w:color="auto" w:fill="FFFFFF"/>
        <w:spacing w:before="30" w:after="30" w:line="240" w:lineRule="auto"/>
        <w:jc w:val="both"/>
        <w:rPr>
          <w:rFonts w:ascii="Georgia" w:eastAsia="Times New Roman" w:hAnsi="Georgia" w:cs="Times New Roman"/>
          <w:color w:val="000000"/>
          <w:sz w:val="24"/>
          <w:szCs w:val="24"/>
          <w:lang w:eastAsia="it-IT"/>
        </w:rPr>
      </w:pPr>
    </w:p>
    <w:p w:rsidR="007E6BCF" w:rsidRPr="00585EA8" w:rsidRDefault="007E6BCF" w:rsidP="001C73AA">
      <w:pPr>
        <w:shd w:val="clear" w:color="auto" w:fill="FFFFFF"/>
        <w:spacing w:before="30" w:after="30" w:line="240" w:lineRule="auto"/>
        <w:jc w:val="both"/>
        <w:rPr>
          <w:rFonts w:ascii="Georgia" w:eastAsia="Times New Roman" w:hAnsi="Georgia" w:cs="Times New Roman"/>
          <w:color w:val="000000"/>
          <w:sz w:val="24"/>
          <w:szCs w:val="24"/>
          <w:lang w:eastAsia="it-IT"/>
        </w:rPr>
      </w:pPr>
      <w:r w:rsidRPr="00585EA8">
        <w:rPr>
          <w:rFonts w:ascii="Georgia" w:eastAsia="Times New Roman" w:hAnsi="Georgia" w:cs="Times New Roman"/>
          <w:color w:val="000000"/>
          <w:sz w:val="24"/>
          <w:szCs w:val="24"/>
          <w:lang w:eastAsia="it-IT"/>
        </w:rPr>
        <w:t>il decreto</w:t>
      </w:r>
      <w:r w:rsidR="00585EA8" w:rsidRPr="00585EA8">
        <w:rPr>
          <w:rFonts w:ascii="Georgia" w:eastAsia="Times New Roman" w:hAnsi="Georgia" w:cs="Times New Roman"/>
          <w:color w:val="000000"/>
          <w:sz w:val="24"/>
          <w:szCs w:val="24"/>
          <w:lang w:eastAsia="it-IT"/>
        </w:rPr>
        <w:t xml:space="preserve"> </w:t>
      </w:r>
      <w:r w:rsidRPr="00585EA8">
        <w:rPr>
          <w:rFonts w:ascii="Georgia" w:eastAsia="Times New Roman" w:hAnsi="Georgia" w:cs="Times New Roman"/>
          <w:color w:val="000000"/>
          <w:sz w:val="24"/>
          <w:szCs w:val="24"/>
          <w:lang w:eastAsia="it-IT"/>
        </w:rPr>
        <w:t>legge 18 ottobre 2023, n. 145,</w:t>
      </w:r>
      <w:r w:rsidR="008D0985">
        <w:rPr>
          <w:rFonts w:ascii="Georgia" w:eastAsia="Times New Roman" w:hAnsi="Georgia" w:cs="Times New Roman"/>
          <w:color w:val="000000"/>
          <w:sz w:val="24"/>
          <w:szCs w:val="24"/>
          <w:lang w:eastAsia="it-IT"/>
        </w:rPr>
        <w:t xml:space="preserve"> convertito con modificazioni dalla legge 15 dicembre </w:t>
      </w:r>
      <w:r w:rsidR="00E6672E">
        <w:rPr>
          <w:rFonts w:ascii="Georgia" w:eastAsia="Times New Roman" w:hAnsi="Georgia" w:cs="Times New Roman"/>
          <w:color w:val="000000"/>
          <w:sz w:val="24"/>
          <w:szCs w:val="24"/>
          <w:lang w:eastAsia="it-IT"/>
        </w:rPr>
        <w:t>2023, n. 191</w:t>
      </w:r>
      <w:r w:rsidRPr="00585EA8">
        <w:rPr>
          <w:rFonts w:ascii="Georgia" w:eastAsia="Times New Roman" w:hAnsi="Georgia" w:cs="Times New Roman"/>
          <w:color w:val="000000"/>
          <w:sz w:val="24"/>
          <w:szCs w:val="24"/>
          <w:lang w:eastAsia="it-IT"/>
        </w:rPr>
        <w:t xml:space="preserve"> c.d. DL Anticipi, ha stabilito all’articolo 3 che,</w:t>
      </w:r>
      <w:r w:rsidR="007C4D70" w:rsidRPr="00585EA8">
        <w:rPr>
          <w:rFonts w:ascii="Georgia" w:eastAsia="Times New Roman" w:hAnsi="Georgia" w:cs="Times New Roman"/>
          <w:color w:val="000000"/>
          <w:sz w:val="24"/>
          <w:szCs w:val="24"/>
          <w:lang w:eastAsia="it-IT"/>
        </w:rPr>
        <w:t xml:space="preserve"> in via eccezionale,</w:t>
      </w:r>
      <w:r w:rsidRPr="00585EA8">
        <w:rPr>
          <w:rFonts w:ascii="Georgia" w:eastAsia="Times New Roman" w:hAnsi="Georgia" w:cs="Times New Roman"/>
          <w:color w:val="000000"/>
          <w:sz w:val="24"/>
          <w:szCs w:val="24"/>
          <w:lang w:eastAsia="it-IT"/>
        </w:rPr>
        <w:t xml:space="preserve"> in attesa del complessivo rinnovo dei contrat</w:t>
      </w:r>
      <w:r w:rsidR="007C4D70" w:rsidRPr="00585EA8">
        <w:rPr>
          <w:rFonts w:ascii="Georgia" w:eastAsia="Times New Roman" w:hAnsi="Georgia" w:cs="Times New Roman"/>
          <w:color w:val="000000"/>
          <w:sz w:val="24"/>
          <w:szCs w:val="24"/>
          <w:lang w:eastAsia="it-IT"/>
        </w:rPr>
        <w:t>ti per il triennio 2022 – 2024</w:t>
      </w:r>
      <w:r w:rsidR="00E941BB" w:rsidRPr="00585EA8">
        <w:rPr>
          <w:rFonts w:ascii="Georgia" w:eastAsia="Times New Roman" w:hAnsi="Georgia" w:cs="Times New Roman"/>
          <w:color w:val="000000"/>
          <w:sz w:val="24"/>
          <w:szCs w:val="24"/>
          <w:lang w:eastAsia="it-IT"/>
        </w:rPr>
        <w:t xml:space="preserve"> de</w:t>
      </w:r>
      <w:r w:rsidRPr="00585EA8">
        <w:rPr>
          <w:rFonts w:ascii="Georgia" w:eastAsia="Times New Roman" w:hAnsi="Georgia" w:cs="Times New Roman"/>
          <w:color w:val="000000"/>
          <w:sz w:val="24"/>
          <w:szCs w:val="24"/>
          <w:lang w:eastAsia="it-IT"/>
        </w:rPr>
        <w:t>l personale con contratto di lavoro a tempo indeterminato dipendente dalle amministrazioni statali, l’in</w:t>
      </w:r>
      <w:r w:rsidR="007C4D70" w:rsidRPr="00585EA8">
        <w:rPr>
          <w:rFonts w:ascii="Georgia" w:eastAsia="Times New Roman" w:hAnsi="Georgia" w:cs="Times New Roman"/>
          <w:color w:val="000000"/>
          <w:sz w:val="24"/>
          <w:szCs w:val="24"/>
          <w:lang w:eastAsia="it-IT"/>
        </w:rPr>
        <w:t>dennità di vacanza contrattuale</w:t>
      </w:r>
      <w:r w:rsidRPr="00585EA8">
        <w:rPr>
          <w:rFonts w:ascii="Georgia" w:eastAsia="Times New Roman" w:hAnsi="Georgia" w:cs="Times New Roman"/>
          <w:color w:val="000000"/>
          <w:sz w:val="24"/>
          <w:szCs w:val="24"/>
          <w:lang w:eastAsia="it-IT"/>
        </w:rPr>
        <w:t xml:space="preserve"> riferita al mese di dicembre 2023, è incrementata, a valere sull’anno 2024, di un importo pari a 6,7 volte il relativo valore annuale attualmente erogato, salvo l’effettuazione di successivi conguagli. </w:t>
      </w:r>
      <w:r w:rsidR="009A384A" w:rsidRPr="00585EA8">
        <w:rPr>
          <w:rFonts w:ascii="Georgia" w:eastAsia="Times New Roman" w:hAnsi="Georgia" w:cs="Times New Roman"/>
          <w:color w:val="000000"/>
          <w:sz w:val="24"/>
          <w:szCs w:val="24"/>
          <w:lang w:eastAsia="it-IT"/>
        </w:rPr>
        <w:t xml:space="preserve">Gli oneri derivanti dalla </w:t>
      </w:r>
      <w:r w:rsidR="00B115D4">
        <w:rPr>
          <w:rFonts w:ascii="Georgia" w:eastAsia="Times New Roman" w:hAnsi="Georgia" w:cs="Times New Roman"/>
          <w:color w:val="000000"/>
          <w:sz w:val="24"/>
          <w:szCs w:val="24"/>
          <w:lang w:eastAsia="it-IT"/>
        </w:rPr>
        <w:t xml:space="preserve">predetta </w:t>
      </w:r>
      <w:r w:rsidR="009A384A" w:rsidRPr="00585EA8">
        <w:rPr>
          <w:rFonts w:ascii="Georgia" w:eastAsia="Times New Roman" w:hAnsi="Georgia" w:cs="Times New Roman"/>
          <w:color w:val="000000"/>
          <w:sz w:val="24"/>
          <w:szCs w:val="24"/>
          <w:lang w:eastAsia="it-IT"/>
        </w:rPr>
        <w:t>disposizione sono stati quantificati in 2 miliardi di euro.</w:t>
      </w:r>
      <w:r w:rsidRPr="00585EA8">
        <w:rPr>
          <w:rFonts w:ascii="Georgia" w:eastAsia="Times New Roman" w:hAnsi="Georgia" w:cs="Times New Roman"/>
          <w:color w:val="000000"/>
          <w:sz w:val="24"/>
          <w:szCs w:val="24"/>
          <w:lang w:eastAsia="it-IT"/>
        </w:rPr>
        <w:t xml:space="preserve"> </w:t>
      </w:r>
    </w:p>
    <w:p w:rsidR="007E6BCF" w:rsidRPr="00585EA8" w:rsidRDefault="007E6BCF" w:rsidP="001C73AA">
      <w:pPr>
        <w:shd w:val="clear" w:color="auto" w:fill="FFFFFF"/>
        <w:spacing w:before="30" w:after="30" w:line="240" w:lineRule="auto"/>
        <w:jc w:val="both"/>
        <w:rPr>
          <w:rFonts w:ascii="Georgia" w:eastAsia="Times New Roman" w:hAnsi="Georgia" w:cs="Times New Roman"/>
          <w:color w:val="000000"/>
          <w:sz w:val="24"/>
          <w:szCs w:val="24"/>
          <w:lang w:eastAsia="it-IT"/>
        </w:rPr>
      </w:pPr>
    </w:p>
    <w:p w:rsidR="001C73AA" w:rsidRPr="00585EA8" w:rsidRDefault="006E24A8" w:rsidP="001C73AA">
      <w:pPr>
        <w:shd w:val="clear" w:color="auto" w:fill="FFFFFF"/>
        <w:spacing w:before="30" w:after="30" w:line="240" w:lineRule="auto"/>
        <w:jc w:val="both"/>
        <w:rPr>
          <w:rFonts w:ascii="Georgia" w:eastAsia="Times New Roman" w:hAnsi="Georgia" w:cs="Times New Roman"/>
          <w:color w:val="000000"/>
          <w:sz w:val="24"/>
          <w:szCs w:val="24"/>
          <w:lang w:eastAsia="it-IT"/>
        </w:rPr>
      </w:pPr>
      <w:r>
        <w:rPr>
          <w:rFonts w:ascii="Georgia" w:eastAsia="Times New Roman" w:hAnsi="Georgia" w:cs="Times New Roman"/>
          <w:color w:val="000000"/>
          <w:sz w:val="24"/>
          <w:szCs w:val="24"/>
          <w:lang w:eastAsia="it-IT"/>
        </w:rPr>
        <w:t>C</w:t>
      </w:r>
      <w:r w:rsidR="001C73AA" w:rsidRPr="00585EA8">
        <w:rPr>
          <w:rFonts w:ascii="Georgia" w:eastAsia="Times New Roman" w:hAnsi="Georgia" w:cs="Times New Roman"/>
          <w:color w:val="000000"/>
          <w:sz w:val="24"/>
          <w:szCs w:val="24"/>
          <w:lang w:eastAsia="it-IT"/>
        </w:rPr>
        <w:t>onsiderato che:</w:t>
      </w:r>
    </w:p>
    <w:p w:rsidR="00306A39" w:rsidRPr="00585EA8" w:rsidRDefault="00306A39" w:rsidP="001C73AA">
      <w:pPr>
        <w:shd w:val="clear" w:color="auto" w:fill="FFFFFF"/>
        <w:spacing w:before="30" w:after="30" w:line="240" w:lineRule="auto"/>
        <w:jc w:val="both"/>
        <w:rPr>
          <w:rFonts w:ascii="Georgia" w:eastAsia="Times New Roman" w:hAnsi="Georgia" w:cs="Times New Roman"/>
          <w:color w:val="000000"/>
          <w:sz w:val="24"/>
          <w:szCs w:val="24"/>
          <w:lang w:eastAsia="it-IT"/>
        </w:rPr>
      </w:pPr>
    </w:p>
    <w:p w:rsidR="001C73AA" w:rsidRPr="00585EA8" w:rsidRDefault="007E6BCF" w:rsidP="001C73AA">
      <w:pPr>
        <w:shd w:val="clear" w:color="auto" w:fill="FFFFFF"/>
        <w:spacing w:before="30" w:after="30" w:line="240" w:lineRule="auto"/>
        <w:jc w:val="both"/>
        <w:rPr>
          <w:rFonts w:ascii="Georgia" w:eastAsia="Times New Roman" w:hAnsi="Georgia" w:cs="Times New Roman"/>
          <w:color w:val="000000"/>
          <w:sz w:val="24"/>
          <w:szCs w:val="24"/>
          <w:lang w:eastAsia="it-IT"/>
        </w:rPr>
      </w:pPr>
      <w:r w:rsidRPr="00585EA8">
        <w:rPr>
          <w:rFonts w:ascii="Georgia" w:eastAsia="Times New Roman" w:hAnsi="Georgia" w:cs="Times New Roman"/>
          <w:color w:val="000000"/>
          <w:sz w:val="24"/>
          <w:szCs w:val="24"/>
          <w:lang w:eastAsia="it-IT"/>
        </w:rPr>
        <w:t>il medesimo articolo 3</w:t>
      </w:r>
      <w:r w:rsidR="00306A39" w:rsidRPr="00585EA8">
        <w:rPr>
          <w:rFonts w:ascii="Georgia" w:eastAsia="Times New Roman" w:hAnsi="Georgia" w:cs="Times New Roman"/>
          <w:color w:val="000000"/>
          <w:sz w:val="24"/>
          <w:szCs w:val="24"/>
          <w:lang w:eastAsia="it-IT"/>
        </w:rPr>
        <w:t xml:space="preserve">, </w:t>
      </w:r>
      <w:r w:rsidR="00E941BB" w:rsidRPr="00585EA8">
        <w:rPr>
          <w:rFonts w:ascii="Georgia" w:eastAsia="Times New Roman" w:hAnsi="Georgia" w:cs="Times New Roman"/>
          <w:color w:val="000000"/>
          <w:sz w:val="24"/>
          <w:szCs w:val="24"/>
          <w:lang w:eastAsia="it-IT"/>
        </w:rPr>
        <w:t xml:space="preserve">al comma 3 </w:t>
      </w:r>
      <w:r w:rsidRPr="00585EA8">
        <w:rPr>
          <w:rFonts w:ascii="Georgia" w:eastAsia="Times New Roman" w:hAnsi="Georgia" w:cs="Times New Roman"/>
          <w:color w:val="000000"/>
          <w:sz w:val="24"/>
          <w:szCs w:val="24"/>
          <w:lang w:eastAsia="it-IT"/>
        </w:rPr>
        <w:t>prevede che le amministrazioni di cui all’articolo 48, comma 2, del decreto legislativo 30 marzo 2001, n. 165 (regioni ed enti dipendenti, amministrazioni del Servizio Sanitario Nazionale, enti locali, camere di commercio, università italiane, enti pubblici non economici</w:t>
      </w:r>
      <w:r w:rsidR="009A384A" w:rsidRPr="00585EA8">
        <w:rPr>
          <w:rFonts w:ascii="Georgia" w:eastAsia="Times New Roman" w:hAnsi="Georgia" w:cs="Times New Roman"/>
          <w:color w:val="000000"/>
          <w:sz w:val="24"/>
          <w:szCs w:val="24"/>
          <w:lang w:eastAsia="it-IT"/>
        </w:rPr>
        <w:t>, enti e istituzioni di ricerca, ivi compresi quelli di cui all’art</w:t>
      </w:r>
      <w:r w:rsidR="00132C29">
        <w:rPr>
          <w:rFonts w:ascii="Georgia" w:eastAsia="Times New Roman" w:hAnsi="Georgia" w:cs="Times New Roman"/>
          <w:color w:val="000000"/>
          <w:sz w:val="24"/>
          <w:szCs w:val="24"/>
          <w:lang w:eastAsia="it-IT"/>
        </w:rPr>
        <w:t>icolo</w:t>
      </w:r>
      <w:r w:rsidR="009A384A" w:rsidRPr="00585EA8">
        <w:rPr>
          <w:rFonts w:ascii="Georgia" w:eastAsia="Times New Roman" w:hAnsi="Georgia" w:cs="Times New Roman"/>
          <w:color w:val="000000"/>
          <w:sz w:val="24"/>
          <w:szCs w:val="24"/>
          <w:lang w:eastAsia="it-IT"/>
        </w:rPr>
        <w:t xml:space="preserve"> 70, co</w:t>
      </w:r>
      <w:r w:rsidR="00756B00">
        <w:rPr>
          <w:rFonts w:ascii="Georgia" w:eastAsia="Times New Roman" w:hAnsi="Georgia" w:cs="Times New Roman"/>
          <w:color w:val="000000"/>
          <w:sz w:val="24"/>
          <w:szCs w:val="24"/>
          <w:lang w:eastAsia="it-IT"/>
        </w:rPr>
        <w:t>mma</w:t>
      </w:r>
      <w:r w:rsidR="009A384A" w:rsidRPr="00585EA8">
        <w:rPr>
          <w:rFonts w:ascii="Georgia" w:eastAsia="Times New Roman" w:hAnsi="Georgia" w:cs="Times New Roman"/>
          <w:color w:val="000000"/>
          <w:sz w:val="24"/>
          <w:szCs w:val="24"/>
          <w:lang w:eastAsia="it-IT"/>
        </w:rPr>
        <w:t xml:space="preserve"> 4 del medesimo decreto legislativo 165/2001), possano erogare al proprio personale dipendente a tempo indeterminato l’incremento richiamato in premessa, con oneri a carico dei propri bilanci.</w:t>
      </w:r>
    </w:p>
    <w:p w:rsidR="009A384A" w:rsidRPr="00585EA8" w:rsidRDefault="009A384A" w:rsidP="001C73AA">
      <w:pPr>
        <w:shd w:val="clear" w:color="auto" w:fill="FFFFFF"/>
        <w:spacing w:before="30" w:after="30" w:line="240" w:lineRule="auto"/>
        <w:jc w:val="both"/>
        <w:rPr>
          <w:rFonts w:ascii="Georgia" w:eastAsia="Times New Roman" w:hAnsi="Georgia" w:cs="Times New Roman"/>
          <w:color w:val="000000"/>
          <w:sz w:val="24"/>
          <w:szCs w:val="24"/>
          <w:lang w:eastAsia="it-IT"/>
        </w:rPr>
      </w:pPr>
    </w:p>
    <w:p w:rsidR="009A384A" w:rsidRPr="00585EA8" w:rsidRDefault="00E73F28" w:rsidP="001C73AA">
      <w:pPr>
        <w:shd w:val="clear" w:color="auto" w:fill="FFFFFF"/>
        <w:spacing w:before="30" w:after="30" w:line="240" w:lineRule="auto"/>
        <w:jc w:val="both"/>
        <w:rPr>
          <w:rFonts w:ascii="Georgia" w:eastAsia="Times New Roman" w:hAnsi="Georgia" w:cs="Times New Roman"/>
          <w:color w:val="000000"/>
          <w:sz w:val="24"/>
          <w:szCs w:val="24"/>
          <w:lang w:eastAsia="it-IT"/>
        </w:rPr>
      </w:pPr>
      <w:r>
        <w:rPr>
          <w:rFonts w:ascii="Georgia" w:eastAsia="Times New Roman" w:hAnsi="Georgia" w:cs="Times New Roman"/>
          <w:color w:val="000000"/>
          <w:sz w:val="24"/>
          <w:szCs w:val="24"/>
          <w:lang w:eastAsia="it-IT"/>
        </w:rPr>
        <w:t>Ritenuto</w:t>
      </w:r>
      <w:r w:rsidR="009A384A" w:rsidRPr="00585EA8">
        <w:rPr>
          <w:rFonts w:ascii="Georgia" w:eastAsia="Times New Roman" w:hAnsi="Georgia" w:cs="Times New Roman"/>
          <w:color w:val="000000"/>
          <w:sz w:val="24"/>
          <w:szCs w:val="24"/>
          <w:lang w:eastAsia="it-IT"/>
        </w:rPr>
        <w:t xml:space="preserve"> che:</w:t>
      </w:r>
    </w:p>
    <w:p w:rsidR="009A384A" w:rsidRPr="00585EA8" w:rsidRDefault="009A384A" w:rsidP="001C73AA">
      <w:pPr>
        <w:shd w:val="clear" w:color="auto" w:fill="FFFFFF"/>
        <w:spacing w:before="30" w:after="30" w:line="240" w:lineRule="auto"/>
        <w:jc w:val="both"/>
        <w:rPr>
          <w:rFonts w:ascii="Georgia" w:eastAsia="Times New Roman" w:hAnsi="Georgia" w:cs="Times New Roman"/>
          <w:color w:val="000000"/>
          <w:sz w:val="24"/>
          <w:szCs w:val="24"/>
          <w:lang w:eastAsia="it-IT"/>
        </w:rPr>
      </w:pPr>
    </w:p>
    <w:p w:rsidR="007E6BCF" w:rsidRDefault="009A384A" w:rsidP="001C73AA">
      <w:pPr>
        <w:shd w:val="clear" w:color="auto" w:fill="FFFFFF"/>
        <w:spacing w:before="30" w:after="30" w:line="240" w:lineRule="auto"/>
        <w:jc w:val="both"/>
        <w:rPr>
          <w:rFonts w:ascii="Georgia" w:eastAsia="Times New Roman" w:hAnsi="Georgia" w:cs="Times New Roman"/>
          <w:color w:val="000000"/>
          <w:sz w:val="24"/>
          <w:szCs w:val="24"/>
          <w:lang w:eastAsia="it-IT"/>
        </w:rPr>
      </w:pPr>
      <w:r w:rsidRPr="00585EA8">
        <w:rPr>
          <w:rFonts w:ascii="Georgia" w:eastAsia="Times New Roman" w:hAnsi="Georgia" w:cs="Times New Roman"/>
          <w:color w:val="000000"/>
          <w:sz w:val="24"/>
          <w:szCs w:val="24"/>
          <w:lang w:eastAsia="it-IT"/>
        </w:rPr>
        <w:t>la legge di bilancio 2024, ai commi da 27 a 31, ha stanzi</w:t>
      </w:r>
      <w:r w:rsidR="00E941BB" w:rsidRPr="00585EA8">
        <w:rPr>
          <w:rFonts w:ascii="Georgia" w:eastAsia="Times New Roman" w:hAnsi="Georgia" w:cs="Times New Roman"/>
          <w:color w:val="000000"/>
          <w:sz w:val="24"/>
          <w:szCs w:val="24"/>
          <w:lang w:eastAsia="it-IT"/>
        </w:rPr>
        <w:t xml:space="preserve">ato circa 8 miliardi di euro per i prossimi </w:t>
      </w:r>
      <w:r w:rsidR="006300EC" w:rsidRPr="00585EA8">
        <w:rPr>
          <w:rFonts w:ascii="Georgia" w:eastAsia="Times New Roman" w:hAnsi="Georgia" w:cs="Times New Roman"/>
          <w:color w:val="000000"/>
          <w:sz w:val="24"/>
          <w:szCs w:val="24"/>
          <w:lang w:eastAsia="it-IT"/>
        </w:rPr>
        <w:t>due anni al fine di rinnovare</w:t>
      </w:r>
      <w:r w:rsidRPr="00585EA8">
        <w:rPr>
          <w:rFonts w:ascii="Georgia" w:eastAsia="Times New Roman" w:hAnsi="Georgia" w:cs="Times New Roman"/>
          <w:color w:val="000000"/>
          <w:sz w:val="24"/>
          <w:szCs w:val="24"/>
          <w:lang w:eastAsia="it-IT"/>
        </w:rPr>
        <w:t xml:space="preserve"> gli aumenti contrattuali del pubblico impiego</w:t>
      </w:r>
      <w:r w:rsidR="006300EC" w:rsidRPr="00585EA8">
        <w:rPr>
          <w:rFonts w:ascii="Georgia" w:eastAsia="Times New Roman" w:hAnsi="Georgia" w:cs="Times New Roman"/>
          <w:color w:val="000000"/>
          <w:sz w:val="24"/>
          <w:szCs w:val="24"/>
          <w:lang w:eastAsia="it-IT"/>
        </w:rPr>
        <w:t>, scaduti già da diversi anni</w:t>
      </w:r>
      <w:r w:rsidRPr="00585EA8">
        <w:rPr>
          <w:rFonts w:ascii="Georgia" w:eastAsia="Times New Roman" w:hAnsi="Georgia" w:cs="Times New Roman"/>
          <w:color w:val="000000"/>
          <w:sz w:val="24"/>
          <w:szCs w:val="24"/>
          <w:lang w:eastAsia="it-IT"/>
        </w:rPr>
        <w:t>;</w:t>
      </w:r>
    </w:p>
    <w:p w:rsidR="00E6672E" w:rsidRDefault="00E6672E" w:rsidP="001C73AA">
      <w:pPr>
        <w:shd w:val="clear" w:color="auto" w:fill="FFFFFF"/>
        <w:spacing w:before="30" w:after="30" w:line="240" w:lineRule="auto"/>
        <w:jc w:val="both"/>
        <w:rPr>
          <w:rFonts w:ascii="Georgia" w:eastAsia="Times New Roman" w:hAnsi="Georgia" w:cs="Times New Roman"/>
          <w:color w:val="000000"/>
          <w:sz w:val="24"/>
          <w:szCs w:val="24"/>
          <w:lang w:eastAsia="it-IT"/>
        </w:rPr>
      </w:pPr>
    </w:p>
    <w:p w:rsidR="00E6672E" w:rsidRDefault="00E6672E" w:rsidP="001C73AA">
      <w:pPr>
        <w:shd w:val="clear" w:color="auto" w:fill="FFFFFF"/>
        <w:spacing w:before="30" w:after="30" w:line="240" w:lineRule="auto"/>
        <w:jc w:val="both"/>
        <w:rPr>
          <w:rFonts w:ascii="Georgia" w:eastAsia="Times New Roman" w:hAnsi="Georgia" w:cs="Times New Roman"/>
          <w:color w:val="000000"/>
          <w:sz w:val="24"/>
          <w:szCs w:val="24"/>
          <w:lang w:eastAsia="it-IT"/>
        </w:rPr>
      </w:pPr>
      <w:r>
        <w:rPr>
          <w:rFonts w:ascii="Georgia" w:eastAsia="Times New Roman" w:hAnsi="Georgia" w:cs="Times New Roman"/>
          <w:color w:val="000000"/>
          <w:sz w:val="24"/>
          <w:szCs w:val="24"/>
          <w:lang w:eastAsia="it-IT"/>
        </w:rPr>
        <w:t>Ritenuto, altresì, che:</w:t>
      </w:r>
    </w:p>
    <w:p w:rsidR="00E6672E" w:rsidRPr="00585EA8" w:rsidRDefault="00E6672E" w:rsidP="001C73AA">
      <w:pPr>
        <w:shd w:val="clear" w:color="auto" w:fill="FFFFFF"/>
        <w:spacing w:before="30" w:after="30" w:line="240" w:lineRule="auto"/>
        <w:jc w:val="both"/>
        <w:rPr>
          <w:rFonts w:ascii="Georgia" w:eastAsia="Times New Roman" w:hAnsi="Georgia" w:cs="Times New Roman"/>
          <w:color w:val="000000"/>
          <w:sz w:val="24"/>
          <w:szCs w:val="24"/>
          <w:lang w:eastAsia="it-IT"/>
        </w:rPr>
      </w:pPr>
    </w:p>
    <w:p w:rsidR="009A384A" w:rsidRPr="00585EA8" w:rsidRDefault="009A384A" w:rsidP="001C73AA">
      <w:pPr>
        <w:shd w:val="clear" w:color="auto" w:fill="FFFFFF"/>
        <w:spacing w:before="30" w:after="30" w:line="240" w:lineRule="auto"/>
        <w:jc w:val="both"/>
        <w:rPr>
          <w:rFonts w:ascii="Georgia" w:eastAsia="Times New Roman" w:hAnsi="Georgia" w:cs="Times New Roman"/>
          <w:color w:val="000000"/>
          <w:sz w:val="24"/>
          <w:szCs w:val="24"/>
          <w:lang w:eastAsia="it-IT"/>
        </w:rPr>
      </w:pPr>
      <w:r w:rsidRPr="00585EA8">
        <w:rPr>
          <w:rFonts w:ascii="Georgia" w:eastAsia="Times New Roman" w:hAnsi="Georgia" w:cs="Times New Roman"/>
          <w:color w:val="000000"/>
          <w:sz w:val="24"/>
          <w:szCs w:val="24"/>
          <w:lang w:eastAsia="it-IT"/>
        </w:rPr>
        <w:t>sia le amministrazioni centrali dello Stato che le amministrazioni diverse stanno erogando l’indennità di vacanza contrattuale in modi differenti;</w:t>
      </w:r>
    </w:p>
    <w:p w:rsidR="007E6BCF" w:rsidRPr="00585EA8" w:rsidRDefault="007E6BCF" w:rsidP="001C73AA">
      <w:pPr>
        <w:shd w:val="clear" w:color="auto" w:fill="FFFFFF"/>
        <w:spacing w:before="30" w:after="30" w:line="240" w:lineRule="auto"/>
        <w:jc w:val="both"/>
        <w:rPr>
          <w:rFonts w:ascii="Georgia" w:eastAsia="Times New Roman" w:hAnsi="Georgia" w:cs="Times New Roman"/>
          <w:b/>
          <w:color w:val="000000"/>
          <w:sz w:val="24"/>
          <w:szCs w:val="24"/>
          <w:lang w:eastAsia="it-IT"/>
        </w:rPr>
      </w:pPr>
    </w:p>
    <w:p w:rsidR="00585EA8" w:rsidRDefault="001C73AA" w:rsidP="001C73AA">
      <w:pPr>
        <w:shd w:val="clear" w:color="auto" w:fill="FFFFFF"/>
        <w:spacing w:before="30" w:after="30" w:line="240" w:lineRule="auto"/>
        <w:jc w:val="both"/>
        <w:rPr>
          <w:rFonts w:ascii="Georgia" w:eastAsia="Times New Roman" w:hAnsi="Georgia" w:cs="Times New Roman"/>
          <w:color w:val="000000"/>
          <w:sz w:val="24"/>
          <w:szCs w:val="24"/>
          <w:lang w:eastAsia="it-IT"/>
        </w:rPr>
      </w:pPr>
      <w:r w:rsidRPr="00585EA8">
        <w:rPr>
          <w:rFonts w:ascii="Georgia" w:eastAsia="Times New Roman" w:hAnsi="Georgia" w:cs="Times New Roman"/>
          <w:color w:val="000000"/>
          <w:sz w:val="24"/>
          <w:szCs w:val="24"/>
          <w:lang w:eastAsia="it-IT"/>
        </w:rPr>
        <w:t xml:space="preserve">si chiede di </w:t>
      </w:r>
      <w:r w:rsidR="00306A39" w:rsidRPr="00585EA8">
        <w:rPr>
          <w:rFonts w:ascii="Georgia" w:eastAsia="Times New Roman" w:hAnsi="Georgia" w:cs="Times New Roman"/>
          <w:color w:val="000000"/>
          <w:sz w:val="24"/>
          <w:szCs w:val="24"/>
          <w:lang w:eastAsia="it-IT"/>
        </w:rPr>
        <w:t>sapere</w:t>
      </w:r>
      <w:r w:rsidR="00401CB4">
        <w:rPr>
          <w:rFonts w:ascii="Georgia" w:eastAsia="Times New Roman" w:hAnsi="Georgia" w:cs="Times New Roman"/>
          <w:color w:val="000000"/>
          <w:sz w:val="24"/>
          <w:szCs w:val="24"/>
          <w:lang w:eastAsia="it-IT"/>
        </w:rPr>
        <w:t>:</w:t>
      </w:r>
    </w:p>
    <w:p w:rsidR="00B115D4" w:rsidRPr="00585EA8" w:rsidRDefault="00B115D4" w:rsidP="001C73AA">
      <w:pPr>
        <w:shd w:val="clear" w:color="auto" w:fill="FFFFFF"/>
        <w:spacing w:before="30" w:after="30" w:line="240" w:lineRule="auto"/>
        <w:jc w:val="both"/>
        <w:rPr>
          <w:rFonts w:ascii="Georgia" w:eastAsia="Times New Roman" w:hAnsi="Georgia" w:cs="Times New Roman"/>
          <w:color w:val="000000"/>
          <w:sz w:val="24"/>
          <w:szCs w:val="24"/>
          <w:lang w:eastAsia="it-IT"/>
        </w:rPr>
      </w:pPr>
    </w:p>
    <w:p w:rsidR="001C73AA" w:rsidRPr="00585EA8" w:rsidRDefault="00401CB4" w:rsidP="001C73AA">
      <w:pPr>
        <w:shd w:val="clear" w:color="auto" w:fill="FFFFFF"/>
        <w:spacing w:before="30" w:after="30" w:line="240" w:lineRule="auto"/>
        <w:jc w:val="both"/>
        <w:rPr>
          <w:rFonts w:ascii="Georgia" w:eastAsia="Times New Roman" w:hAnsi="Georgia" w:cs="Times New Roman"/>
          <w:color w:val="000000"/>
          <w:sz w:val="24"/>
          <w:szCs w:val="24"/>
          <w:lang w:eastAsia="it-IT"/>
        </w:rPr>
      </w:pPr>
      <w:r>
        <w:rPr>
          <w:rFonts w:ascii="Georgia" w:eastAsia="Times New Roman" w:hAnsi="Georgia" w:cs="Times New Roman"/>
          <w:color w:val="000000"/>
          <w:sz w:val="24"/>
          <w:szCs w:val="24"/>
          <w:lang w:eastAsia="it-IT"/>
        </w:rPr>
        <w:t xml:space="preserve">quale sia </w:t>
      </w:r>
      <w:r w:rsidR="00306A39" w:rsidRPr="00585EA8">
        <w:rPr>
          <w:rFonts w:ascii="Georgia" w:eastAsia="Times New Roman" w:hAnsi="Georgia" w:cs="Times New Roman"/>
          <w:color w:val="000000"/>
          <w:sz w:val="24"/>
          <w:szCs w:val="24"/>
          <w:lang w:eastAsia="it-IT"/>
        </w:rPr>
        <w:t>lo stato di avanzamento dei pagamenti dell’indennità di vacanza contrattuale e perché, all’interno delle stesse amministrazioni statali, il pagamento non sia uniforme.</w:t>
      </w:r>
    </w:p>
    <w:p w:rsidR="001B0CE4" w:rsidRPr="00306A39" w:rsidRDefault="001B0CE4">
      <w:pPr>
        <w:rPr>
          <w:rFonts w:ascii="Times New Roman" w:hAnsi="Times New Roman" w:cs="Times New Roman"/>
        </w:rPr>
      </w:pPr>
    </w:p>
    <w:sectPr w:rsidR="001B0CE4" w:rsidRPr="00306A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73"/>
    <w:rsid w:val="00132C29"/>
    <w:rsid w:val="001B0CE4"/>
    <w:rsid w:val="001C73AA"/>
    <w:rsid w:val="00306A39"/>
    <w:rsid w:val="00401CB4"/>
    <w:rsid w:val="00585EA8"/>
    <w:rsid w:val="006300EC"/>
    <w:rsid w:val="006E24A8"/>
    <w:rsid w:val="00756B00"/>
    <w:rsid w:val="007C4D70"/>
    <w:rsid w:val="007E6BCF"/>
    <w:rsid w:val="008D0985"/>
    <w:rsid w:val="009A384A"/>
    <w:rsid w:val="00B01C73"/>
    <w:rsid w:val="00B115D4"/>
    <w:rsid w:val="00B24D0A"/>
    <w:rsid w:val="00DF0422"/>
    <w:rsid w:val="00E6672E"/>
    <w:rsid w:val="00E73F28"/>
    <w:rsid w:val="00E941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C6D43-0B22-4178-83D4-EE807F3F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C73AA"/>
    <w:rPr>
      <w:color w:val="0000FF"/>
      <w:u w:val="single"/>
    </w:rPr>
  </w:style>
  <w:style w:type="paragraph" w:styleId="NormaleWeb">
    <w:name w:val="Normal (Web)"/>
    <w:basedOn w:val="Normale"/>
    <w:uiPriority w:val="99"/>
    <w:semiHidden/>
    <w:unhideWhenUsed/>
    <w:rsid w:val="001C73A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8D0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6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nato.it/loc/link.asp?leg=19&amp;tipodoc=sanasen&amp;id=3264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CONFCOMMERCIO</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Lelli Adriano</dc:creator>
  <cp:keywords/>
  <dc:description/>
  <cp:lastModifiedBy>Cdd</cp:lastModifiedBy>
  <cp:revision>2</cp:revision>
  <dcterms:created xsi:type="dcterms:W3CDTF">2024-03-06T12:25:00Z</dcterms:created>
  <dcterms:modified xsi:type="dcterms:W3CDTF">2024-03-06T12:25:00Z</dcterms:modified>
</cp:coreProperties>
</file>